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8C" w:rsidRDefault="00D819EB" w:rsidP="0014798C">
      <w:pPr>
        <w:pStyle w:val="Heading1"/>
        <w:rPr>
          <w:rFonts w:ascii="Times New Roman" w:hAnsi="Times New Roman"/>
          <w:i/>
          <w:sz w:val="24"/>
          <w:szCs w:val="24"/>
          <w:u w:val="single"/>
        </w:rPr>
      </w:pPr>
      <w:r>
        <w:rPr>
          <w:rFonts w:ascii="Times New Roman" w:hAnsi="Times New Roman"/>
          <w:i/>
          <w:sz w:val="24"/>
          <w:szCs w:val="24"/>
          <w:u w:val="single"/>
        </w:rPr>
        <w:t>S</w:t>
      </w:r>
      <w:r w:rsidR="0014798C">
        <w:rPr>
          <w:rFonts w:ascii="Times New Roman" w:hAnsi="Times New Roman"/>
          <w:i/>
          <w:sz w:val="24"/>
          <w:szCs w:val="24"/>
          <w:u w:val="single"/>
        </w:rPr>
        <w:t>ALES AGREEMENT</w:t>
      </w:r>
    </w:p>
    <w:p w:rsidR="0014798C" w:rsidRDefault="0014798C" w:rsidP="0014798C">
      <w:pPr>
        <w:tabs>
          <w:tab w:val="left" w:pos="7965"/>
        </w:tabs>
      </w:pPr>
      <w:r>
        <w:tab/>
      </w:r>
    </w:p>
    <w:p w:rsidR="0014798C" w:rsidRPr="00961907" w:rsidRDefault="0014798C" w:rsidP="0014798C">
      <w:pPr>
        <w:jc w:val="center"/>
        <w:rPr>
          <w:b/>
          <w:sz w:val="22"/>
          <w:szCs w:val="22"/>
        </w:rPr>
      </w:pPr>
      <w:r w:rsidRPr="00315A49">
        <w:rPr>
          <w:sz w:val="22"/>
          <w:szCs w:val="22"/>
        </w:rPr>
        <w:t>Eni Contract No</w:t>
      </w:r>
      <w:r>
        <w:rPr>
          <w:sz w:val="22"/>
          <w:szCs w:val="22"/>
        </w:rPr>
        <w:t xml:space="preserve">. </w:t>
      </w:r>
      <w:r w:rsidRPr="002F49F7">
        <w:rPr>
          <w:b/>
          <w:sz w:val="22"/>
          <w:szCs w:val="22"/>
          <w:highlight w:val="yellow"/>
        </w:rPr>
        <w:t>M-</w:t>
      </w:r>
      <w:r w:rsidR="002E08D5">
        <w:rPr>
          <w:b/>
          <w:sz w:val="22"/>
          <w:szCs w:val="22"/>
          <w:highlight w:val="yellow"/>
        </w:rPr>
        <w:t>XX</w:t>
      </w:r>
      <w:r w:rsidRPr="002F49F7">
        <w:rPr>
          <w:b/>
          <w:sz w:val="22"/>
          <w:szCs w:val="22"/>
          <w:highlight w:val="yellow"/>
        </w:rPr>
        <w:t>-1</w:t>
      </w:r>
      <w:r w:rsidR="00C90AF1" w:rsidRPr="002F49F7">
        <w:rPr>
          <w:b/>
          <w:sz w:val="22"/>
          <w:szCs w:val="22"/>
          <w:highlight w:val="yellow"/>
        </w:rPr>
        <w:t>5</w:t>
      </w:r>
    </w:p>
    <w:p w:rsidR="0014798C" w:rsidRDefault="0014798C" w:rsidP="0014798C">
      <w:pPr>
        <w:jc w:val="center"/>
        <w:rPr>
          <w:sz w:val="22"/>
          <w:szCs w:val="22"/>
        </w:rPr>
      </w:pPr>
    </w:p>
    <w:p w:rsidR="0014798C" w:rsidRPr="00D61649" w:rsidRDefault="0014798C" w:rsidP="0014798C">
      <w:pPr>
        <w:rPr>
          <w:b/>
          <w:snapToGrid w:val="0"/>
          <w:sz w:val="22"/>
          <w:szCs w:val="22"/>
        </w:rPr>
      </w:pPr>
      <w:r w:rsidRPr="0017360C">
        <w:rPr>
          <w:i/>
          <w:snapToGrid w:val="0"/>
          <w:sz w:val="22"/>
          <w:szCs w:val="22"/>
        </w:rPr>
        <w:t xml:space="preserve">This </w:t>
      </w:r>
      <w:r w:rsidRPr="0017360C">
        <w:rPr>
          <w:b/>
          <w:i/>
          <w:snapToGrid w:val="0"/>
          <w:sz w:val="22"/>
          <w:szCs w:val="22"/>
        </w:rPr>
        <w:t>Sales Agreement</w:t>
      </w:r>
      <w:r>
        <w:rPr>
          <w:snapToGrid w:val="0"/>
          <w:sz w:val="22"/>
          <w:szCs w:val="22"/>
        </w:rPr>
        <w:t>,</w:t>
      </w:r>
      <w:r w:rsidRPr="00315A49">
        <w:rPr>
          <w:snapToGrid w:val="0"/>
          <w:sz w:val="22"/>
          <w:szCs w:val="22"/>
        </w:rPr>
        <w:t xml:space="preserve"> (the “Agreement”), </w:t>
      </w:r>
      <w:r>
        <w:rPr>
          <w:snapToGrid w:val="0"/>
          <w:sz w:val="22"/>
          <w:szCs w:val="22"/>
        </w:rPr>
        <w:t>is</w:t>
      </w:r>
      <w:r w:rsidRPr="00315A49">
        <w:rPr>
          <w:snapToGrid w:val="0"/>
          <w:sz w:val="22"/>
          <w:szCs w:val="22"/>
        </w:rPr>
        <w:t xml:space="preserve"> made </w:t>
      </w:r>
      <w:r>
        <w:rPr>
          <w:snapToGrid w:val="0"/>
          <w:sz w:val="22"/>
          <w:szCs w:val="22"/>
        </w:rPr>
        <w:t xml:space="preserve">and entered into this date,  </w:t>
      </w:r>
      <w:r w:rsidR="002E08D5">
        <w:rPr>
          <w:snapToGrid w:val="0"/>
          <w:sz w:val="22"/>
          <w:szCs w:val="22"/>
        </w:rPr>
        <w:t>XX</w:t>
      </w:r>
      <w:r w:rsidR="00094EF6" w:rsidRPr="002F49F7">
        <w:rPr>
          <w:b/>
          <w:snapToGrid w:val="0"/>
          <w:sz w:val="22"/>
          <w:szCs w:val="22"/>
          <w:highlight w:val="yellow"/>
        </w:rPr>
        <w:t>/</w:t>
      </w:r>
      <w:r w:rsidR="002E08D5">
        <w:rPr>
          <w:b/>
          <w:snapToGrid w:val="0"/>
          <w:sz w:val="22"/>
          <w:szCs w:val="22"/>
          <w:highlight w:val="yellow"/>
        </w:rPr>
        <w:t>XX</w:t>
      </w:r>
      <w:r w:rsidR="00F53069" w:rsidRPr="002F49F7">
        <w:rPr>
          <w:b/>
          <w:snapToGrid w:val="0"/>
          <w:sz w:val="22"/>
          <w:szCs w:val="22"/>
          <w:highlight w:val="yellow"/>
        </w:rPr>
        <w:t>/</w:t>
      </w:r>
      <w:r w:rsidRPr="002F49F7">
        <w:rPr>
          <w:b/>
          <w:snapToGrid w:val="0"/>
          <w:sz w:val="22"/>
          <w:szCs w:val="22"/>
          <w:highlight w:val="yellow"/>
        </w:rPr>
        <w:t>201</w:t>
      </w:r>
      <w:r w:rsidR="00C90AF1" w:rsidRPr="002F49F7">
        <w:rPr>
          <w:b/>
          <w:snapToGrid w:val="0"/>
          <w:sz w:val="22"/>
          <w:szCs w:val="22"/>
          <w:highlight w:val="yellow"/>
        </w:rPr>
        <w:t>5</w:t>
      </w:r>
      <w:r w:rsidRPr="00D819EB">
        <w:rPr>
          <w:b/>
          <w:snapToGrid w:val="0"/>
          <w:sz w:val="22"/>
          <w:szCs w:val="22"/>
        </w:rPr>
        <w:t xml:space="preserve">, </w:t>
      </w:r>
      <w:r>
        <w:rPr>
          <w:snapToGrid w:val="0"/>
          <w:sz w:val="22"/>
          <w:szCs w:val="22"/>
        </w:rPr>
        <w:t>(“Effective Date”),</w:t>
      </w:r>
      <w:r w:rsidRPr="00315A49">
        <w:rPr>
          <w:snapToGrid w:val="0"/>
          <w:sz w:val="22"/>
          <w:szCs w:val="22"/>
        </w:rPr>
        <w:t xml:space="preserve"> by</w:t>
      </w:r>
      <w:r>
        <w:rPr>
          <w:snapToGrid w:val="0"/>
          <w:sz w:val="22"/>
          <w:szCs w:val="22"/>
        </w:rPr>
        <w:t xml:space="preserve"> and between </w:t>
      </w:r>
      <w:r w:rsidRPr="00315A49">
        <w:rPr>
          <w:b/>
          <w:snapToGrid w:val="0"/>
          <w:sz w:val="22"/>
          <w:szCs w:val="22"/>
        </w:rPr>
        <w:t>Eni US Operating Co. Inc. (“Seller”),</w:t>
      </w:r>
      <w:r w:rsidRPr="00315A49">
        <w:rPr>
          <w:snapToGrid w:val="0"/>
          <w:sz w:val="22"/>
          <w:szCs w:val="22"/>
        </w:rPr>
        <w:t xml:space="preserve"> whose principal address is shown above, </w:t>
      </w:r>
      <w:r w:rsidRPr="003A3FF0">
        <w:rPr>
          <w:snapToGrid w:val="0"/>
          <w:sz w:val="22"/>
          <w:szCs w:val="22"/>
        </w:rPr>
        <w:t>and</w:t>
      </w:r>
      <w:r w:rsidR="00F92CA6">
        <w:rPr>
          <w:snapToGrid w:val="0"/>
          <w:sz w:val="22"/>
          <w:szCs w:val="22"/>
        </w:rPr>
        <w:t xml:space="preserve"> </w:t>
      </w:r>
      <w:r w:rsidR="002E08D5" w:rsidRPr="002E08D5">
        <w:rPr>
          <w:snapToGrid w:val="0"/>
          <w:sz w:val="22"/>
          <w:szCs w:val="22"/>
          <w:highlight w:val="yellow"/>
        </w:rPr>
        <w:t>ABC COMPANY</w:t>
      </w:r>
      <w:r w:rsidRPr="002F49F7">
        <w:rPr>
          <w:b/>
          <w:snapToGrid w:val="0"/>
          <w:sz w:val="22"/>
          <w:szCs w:val="22"/>
          <w:highlight w:val="yellow"/>
        </w:rPr>
        <w:t>.</w:t>
      </w:r>
      <w:r w:rsidRPr="00C90AF1">
        <w:rPr>
          <w:b/>
          <w:snapToGrid w:val="0"/>
          <w:sz w:val="22"/>
          <w:szCs w:val="22"/>
        </w:rPr>
        <w:t xml:space="preserve">  </w:t>
      </w:r>
      <w:r w:rsidRPr="00780BD2">
        <w:rPr>
          <w:b/>
          <w:snapToGrid w:val="0"/>
          <w:sz w:val="22"/>
          <w:szCs w:val="22"/>
        </w:rPr>
        <w:t xml:space="preserve">(“Buyer”), </w:t>
      </w:r>
      <w:r w:rsidRPr="00780BD2">
        <w:rPr>
          <w:snapToGrid w:val="0"/>
          <w:sz w:val="22"/>
          <w:szCs w:val="22"/>
        </w:rPr>
        <w:t xml:space="preserve">whose principal address is </w:t>
      </w:r>
      <w:r w:rsidR="002E08D5" w:rsidRPr="002E08D5">
        <w:rPr>
          <w:snapToGrid w:val="0"/>
          <w:sz w:val="22"/>
          <w:szCs w:val="22"/>
          <w:highlight w:val="yellow"/>
        </w:rPr>
        <w:t>XXXXXXXX</w:t>
      </w:r>
      <w:r w:rsidR="002E08D5">
        <w:rPr>
          <w:snapToGrid w:val="0"/>
          <w:sz w:val="22"/>
          <w:szCs w:val="22"/>
        </w:rPr>
        <w:t xml:space="preserve"> </w:t>
      </w:r>
      <w:r w:rsidR="00C90AF1" w:rsidRPr="00780BD2">
        <w:rPr>
          <w:b/>
          <w:snapToGrid w:val="0"/>
          <w:sz w:val="22"/>
          <w:szCs w:val="22"/>
        </w:rPr>
        <w:t xml:space="preserve"> </w:t>
      </w:r>
      <w:r w:rsidRPr="00315A49">
        <w:rPr>
          <w:snapToGrid w:val="0"/>
          <w:sz w:val="22"/>
          <w:szCs w:val="22"/>
        </w:rPr>
        <w:t xml:space="preserve">for the sale and transfer by Seller to Buyer of </w:t>
      </w:r>
      <w:r>
        <w:rPr>
          <w:snapToGrid w:val="0"/>
          <w:sz w:val="22"/>
          <w:szCs w:val="22"/>
        </w:rPr>
        <w:t>the</w:t>
      </w:r>
      <w:r w:rsidRPr="00315A49">
        <w:rPr>
          <w:snapToGrid w:val="0"/>
          <w:sz w:val="22"/>
          <w:szCs w:val="22"/>
        </w:rPr>
        <w:t xml:space="preserve"> below described </w:t>
      </w:r>
      <w:r>
        <w:rPr>
          <w:snapToGrid w:val="0"/>
          <w:sz w:val="22"/>
          <w:szCs w:val="22"/>
        </w:rPr>
        <w:t>items</w:t>
      </w:r>
      <w:r w:rsidRPr="00315A49">
        <w:rPr>
          <w:snapToGrid w:val="0"/>
          <w:sz w:val="22"/>
          <w:szCs w:val="22"/>
        </w:rPr>
        <w:t xml:space="preserve"> under the terms and conditions set forth herein. Seller</w:t>
      </w:r>
      <w:r>
        <w:rPr>
          <w:snapToGrid w:val="0"/>
          <w:sz w:val="22"/>
          <w:szCs w:val="22"/>
        </w:rPr>
        <w:t xml:space="preserve"> and Buyer are referred to herein individually as </w:t>
      </w:r>
      <w:r w:rsidRPr="00315A49">
        <w:rPr>
          <w:snapToGrid w:val="0"/>
          <w:sz w:val="22"/>
          <w:szCs w:val="22"/>
        </w:rPr>
        <w:t xml:space="preserve">“Party”, and </w:t>
      </w:r>
      <w:r>
        <w:rPr>
          <w:snapToGrid w:val="0"/>
          <w:sz w:val="22"/>
          <w:szCs w:val="22"/>
        </w:rPr>
        <w:t xml:space="preserve">jointly </w:t>
      </w:r>
      <w:r w:rsidRPr="00315A49">
        <w:rPr>
          <w:snapToGrid w:val="0"/>
          <w:sz w:val="22"/>
          <w:szCs w:val="22"/>
        </w:rPr>
        <w:t>as “Parties”.</w:t>
      </w:r>
    </w:p>
    <w:p w:rsidR="0014798C" w:rsidRPr="00315A49" w:rsidRDefault="0014798C" w:rsidP="0014798C">
      <w:pPr>
        <w:widowControl w:val="0"/>
        <w:rPr>
          <w:snapToGrid w:val="0"/>
          <w:sz w:val="22"/>
          <w:szCs w:val="22"/>
        </w:rPr>
      </w:pPr>
    </w:p>
    <w:p w:rsidR="0014798C" w:rsidRPr="00315A49" w:rsidRDefault="0014798C" w:rsidP="0014798C">
      <w:pPr>
        <w:widowControl w:val="0"/>
        <w:numPr>
          <w:ilvl w:val="0"/>
          <w:numId w:val="1"/>
        </w:numPr>
        <w:tabs>
          <w:tab w:val="left" w:pos="540"/>
        </w:tabs>
        <w:ind w:hanging="900"/>
        <w:jc w:val="both"/>
        <w:rPr>
          <w:snapToGrid w:val="0"/>
          <w:sz w:val="22"/>
          <w:szCs w:val="22"/>
        </w:rPr>
      </w:pPr>
      <w:smartTag w:uri="urn:schemas-microsoft-com:office:smarttags" w:element="City">
        <w:smartTag w:uri="urn:schemas-microsoft-com:office:smarttags" w:element="place">
          <w:r w:rsidRPr="00315A49">
            <w:rPr>
              <w:snapToGrid w:val="0"/>
              <w:sz w:val="22"/>
              <w:szCs w:val="22"/>
              <w:u w:val="single"/>
            </w:rPr>
            <w:t>Sale</w:t>
          </w:r>
        </w:smartTag>
      </w:smartTag>
      <w:r w:rsidRPr="00315A49">
        <w:rPr>
          <w:snapToGrid w:val="0"/>
          <w:sz w:val="22"/>
          <w:szCs w:val="22"/>
          <w:u w:val="single"/>
        </w:rPr>
        <w:t xml:space="preserve"> and Purchase of </w:t>
      </w:r>
      <w:r>
        <w:rPr>
          <w:snapToGrid w:val="0"/>
          <w:sz w:val="22"/>
          <w:szCs w:val="22"/>
          <w:u w:val="single"/>
        </w:rPr>
        <w:t xml:space="preserve">Seller’s Right, Title, and Interest in </w:t>
      </w:r>
      <w:r w:rsidRPr="00315A49">
        <w:rPr>
          <w:snapToGrid w:val="0"/>
          <w:sz w:val="22"/>
          <w:szCs w:val="22"/>
          <w:u w:val="single"/>
        </w:rPr>
        <w:t>Goods</w:t>
      </w:r>
      <w:r w:rsidRPr="00315A49">
        <w:rPr>
          <w:snapToGrid w:val="0"/>
          <w:sz w:val="22"/>
          <w:szCs w:val="22"/>
        </w:rPr>
        <w:t>:</w:t>
      </w:r>
      <w:r>
        <w:rPr>
          <w:snapToGrid w:val="0"/>
          <w:sz w:val="22"/>
          <w:szCs w:val="22"/>
        </w:rPr>
        <w:t xml:space="preserve">  </w:t>
      </w:r>
    </w:p>
    <w:p w:rsidR="002F49F7" w:rsidRDefault="002F49F7" w:rsidP="0014798C">
      <w:pPr>
        <w:widowControl w:val="0"/>
        <w:tabs>
          <w:tab w:val="left" w:pos="540"/>
        </w:tabs>
        <w:jc w:val="both"/>
        <w:rPr>
          <w:snapToGrid w:val="0"/>
          <w:sz w:val="22"/>
          <w:szCs w:val="22"/>
        </w:rPr>
      </w:pPr>
      <w:bookmarkStart w:id="0" w:name="_GoBack"/>
      <w:bookmarkEnd w:id="0"/>
    </w:p>
    <w:p w:rsidR="0014798C" w:rsidRDefault="0014798C" w:rsidP="0014798C">
      <w:pPr>
        <w:widowControl w:val="0"/>
        <w:tabs>
          <w:tab w:val="left" w:pos="540"/>
        </w:tabs>
        <w:jc w:val="both"/>
        <w:rPr>
          <w:i/>
          <w:snapToGrid w:val="0"/>
          <w:sz w:val="22"/>
          <w:szCs w:val="22"/>
        </w:rPr>
      </w:pPr>
      <w:r>
        <w:rPr>
          <w:snapToGrid w:val="0"/>
          <w:sz w:val="22"/>
          <w:szCs w:val="22"/>
        </w:rPr>
        <w:t>Subject to the terms and conditions herein</w:t>
      </w:r>
      <w:r w:rsidRPr="00315A49">
        <w:rPr>
          <w:snapToGrid w:val="0"/>
          <w:sz w:val="22"/>
          <w:szCs w:val="22"/>
        </w:rPr>
        <w:t xml:space="preserve">, Seller agrees to sell and Buyer agrees to purchase </w:t>
      </w:r>
      <w:r>
        <w:rPr>
          <w:snapToGrid w:val="0"/>
          <w:sz w:val="22"/>
          <w:szCs w:val="22"/>
        </w:rPr>
        <w:t xml:space="preserve">all of Seller’s right, title, and interest in and to </w:t>
      </w:r>
      <w:r w:rsidRPr="00315A49">
        <w:rPr>
          <w:snapToGrid w:val="0"/>
          <w:sz w:val="22"/>
          <w:szCs w:val="22"/>
        </w:rPr>
        <w:t>the following described goods, materials, and equipment (the “Goods”):</w:t>
      </w:r>
      <w:r w:rsidRPr="00315A49">
        <w:rPr>
          <w:i/>
          <w:snapToGrid w:val="0"/>
          <w:sz w:val="22"/>
          <w:szCs w:val="22"/>
        </w:rPr>
        <w:t xml:space="preserve"> </w:t>
      </w:r>
    </w:p>
    <w:p w:rsidR="002E08D5" w:rsidRDefault="002E08D5" w:rsidP="0014798C">
      <w:pPr>
        <w:numPr>
          <w:ilvl w:val="1"/>
          <w:numId w:val="0"/>
        </w:numPr>
        <w:tabs>
          <w:tab w:val="num" w:pos="720"/>
        </w:tabs>
        <w:overflowPunct w:val="0"/>
        <w:autoSpaceDE w:val="0"/>
        <w:autoSpaceDN w:val="0"/>
        <w:adjustRightInd w:val="0"/>
        <w:spacing w:before="80"/>
        <w:jc w:val="both"/>
        <w:textAlignment w:val="baseline"/>
        <w:rPr>
          <w:snapToGrid w:val="0"/>
          <w:sz w:val="22"/>
          <w:szCs w:val="22"/>
        </w:rPr>
      </w:pPr>
      <w:r w:rsidRPr="002E08D5">
        <w:rPr>
          <w:snapToGrid w:val="0"/>
          <w:sz w:val="22"/>
          <w:szCs w:val="22"/>
          <w:highlight w:val="yellow"/>
        </w:rPr>
        <w:t>Description of the Goods ( A, B, C , D – See attached list, etc.)</w:t>
      </w:r>
    </w:p>
    <w:p w:rsidR="002E08D5" w:rsidRDefault="002E08D5" w:rsidP="0014798C">
      <w:pPr>
        <w:numPr>
          <w:ilvl w:val="1"/>
          <w:numId w:val="0"/>
        </w:numPr>
        <w:tabs>
          <w:tab w:val="num" w:pos="720"/>
        </w:tabs>
        <w:overflowPunct w:val="0"/>
        <w:autoSpaceDE w:val="0"/>
        <w:autoSpaceDN w:val="0"/>
        <w:adjustRightInd w:val="0"/>
        <w:spacing w:before="80"/>
        <w:jc w:val="both"/>
        <w:textAlignment w:val="baseline"/>
        <w:rPr>
          <w:snapToGrid w:val="0"/>
          <w:sz w:val="22"/>
          <w:szCs w:val="22"/>
        </w:rPr>
      </w:pPr>
    </w:p>
    <w:p w:rsidR="0014798C" w:rsidRPr="00315A49" w:rsidRDefault="0014798C" w:rsidP="0014798C">
      <w:pPr>
        <w:numPr>
          <w:ilvl w:val="1"/>
          <w:numId w:val="0"/>
        </w:numPr>
        <w:tabs>
          <w:tab w:val="num" w:pos="720"/>
        </w:tabs>
        <w:overflowPunct w:val="0"/>
        <w:autoSpaceDE w:val="0"/>
        <w:autoSpaceDN w:val="0"/>
        <w:adjustRightInd w:val="0"/>
        <w:spacing w:before="80"/>
        <w:jc w:val="both"/>
        <w:textAlignment w:val="baseline"/>
        <w:rPr>
          <w:sz w:val="22"/>
          <w:szCs w:val="22"/>
        </w:rPr>
      </w:pPr>
      <w:r>
        <w:rPr>
          <w:snapToGrid w:val="0"/>
          <w:sz w:val="22"/>
          <w:szCs w:val="22"/>
        </w:rPr>
        <w:t>2.</w:t>
      </w:r>
      <w:r>
        <w:rPr>
          <w:snapToGrid w:val="0"/>
          <w:sz w:val="22"/>
          <w:szCs w:val="22"/>
        </w:rPr>
        <w:tab/>
      </w:r>
      <w:r w:rsidRPr="00315A49">
        <w:rPr>
          <w:snapToGrid w:val="0"/>
          <w:sz w:val="22"/>
          <w:szCs w:val="22"/>
          <w:u w:val="single"/>
        </w:rPr>
        <w:t>Sales Price and Payment Terms</w:t>
      </w:r>
      <w:r w:rsidRPr="00315A49">
        <w:rPr>
          <w:snapToGrid w:val="0"/>
          <w:sz w:val="22"/>
          <w:szCs w:val="22"/>
        </w:rPr>
        <w:t xml:space="preserve">:  </w:t>
      </w:r>
      <w:r w:rsidRPr="00315A49">
        <w:rPr>
          <w:sz w:val="22"/>
          <w:szCs w:val="22"/>
        </w:rPr>
        <w:t xml:space="preserve">The total sales price for </w:t>
      </w:r>
      <w:r>
        <w:rPr>
          <w:sz w:val="22"/>
          <w:szCs w:val="22"/>
        </w:rPr>
        <w:t xml:space="preserve">Seller’s right, title and interest in the </w:t>
      </w:r>
      <w:r w:rsidRPr="00315A49">
        <w:rPr>
          <w:sz w:val="22"/>
          <w:szCs w:val="22"/>
        </w:rPr>
        <w:t xml:space="preserve">Goods is </w:t>
      </w:r>
      <w:r>
        <w:rPr>
          <w:sz w:val="22"/>
          <w:szCs w:val="22"/>
        </w:rPr>
        <w:t xml:space="preserve">    </w:t>
      </w:r>
      <w:r w:rsidR="000C78B0" w:rsidRPr="000C78B0">
        <w:rPr>
          <w:sz w:val="22"/>
          <w:szCs w:val="22"/>
          <w:highlight w:val="yellow"/>
        </w:rPr>
        <w:t xml:space="preserve">US </w:t>
      </w:r>
      <w:r w:rsidR="00C90AF1" w:rsidRPr="000C78B0">
        <w:rPr>
          <w:b/>
          <w:sz w:val="22"/>
          <w:szCs w:val="22"/>
          <w:highlight w:val="yellow"/>
        </w:rPr>
        <w:t>$</w:t>
      </w:r>
      <w:r w:rsidR="002E08D5" w:rsidRPr="000C78B0">
        <w:rPr>
          <w:b/>
          <w:sz w:val="22"/>
          <w:szCs w:val="22"/>
          <w:highlight w:val="yellow"/>
        </w:rPr>
        <w:t>X,</w:t>
      </w:r>
      <w:r w:rsidR="002E08D5">
        <w:rPr>
          <w:b/>
          <w:sz w:val="22"/>
          <w:szCs w:val="22"/>
          <w:highlight w:val="yellow"/>
        </w:rPr>
        <w:t>XXX.</w:t>
      </w:r>
      <w:r w:rsidR="00C90AF1" w:rsidRPr="002F49F7">
        <w:rPr>
          <w:b/>
          <w:sz w:val="22"/>
          <w:szCs w:val="22"/>
          <w:highlight w:val="yellow"/>
        </w:rPr>
        <w:t>00</w:t>
      </w:r>
      <w:r>
        <w:rPr>
          <w:sz w:val="22"/>
          <w:szCs w:val="22"/>
        </w:rPr>
        <w:t xml:space="preserve"> </w:t>
      </w:r>
      <w:r w:rsidRPr="00315A49">
        <w:rPr>
          <w:sz w:val="22"/>
          <w:szCs w:val="22"/>
        </w:rPr>
        <w:t xml:space="preserve"> which shall be due and payable to Seller by wire transfer to Seller’s designated bank account </w:t>
      </w:r>
      <w:r>
        <w:rPr>
          <w:sz w:val="22"/>
          <w:szCs w:val="22"/>
        </w:rPr>
        <w:t xml:space="preserve">on the seventh  (7th) business day following execution of this Agreement by both Parties.  </w:t>
      </w:r>
      <w:r w:rsidRPr="00315A49">
        <w:rPr>
          <w:spacing w:val="-6"/>
          <w:sz w:val="22"/>
          <w:szCs w:val="22"/>
        </w:rPr>
        <w:t>If Buyer fails to remit the full amount payable when due, interest on the unpaid portion shall accrue from the date due until the date of payment at a rate equal to the lower of (</w:t>
      </w:r>
      <w:r w:rsidRPr="00315A49">
        <w:rPr>
          <w:noProof/>
          <w:spacing w:val="-6"/>
          <w:sz w:val="22"/>
          <w:szCs w:val="22"/>
        </w:rPr>
        <w:t>i</w:t>
      </w:r>
      <w:r w:rsidRPr="00315A49">
        <w:rPr>
          <w:spacing w:val="-6"/>
          <w:sz w:val="22"/>
          <w:szCs w:val="22"/>
        </w:rPr>
        <w:t>)</w:t>
      </w:r>
      <w:r>
        <w:rPr>
          <w:spacing w:val="-6"/>
          <w:sz w:val="22"/>
          <w:szCs w:val="22"/>
        </w:rPr>
        <w:t xml:space="preserve"> </w:t>
      </w:r>
      <w:r w:rsidRPr="00315A49">
        <w:rPr>
          <w:spacing w:val="-6"/>
          <w:sz w:val="22"/>
          <w:szCs w:val="22"/>
        </w:rPr>
        <w:t xml:space="preserve">the </w:t>
      </w:r>
      <w:r>
        <w:rPr>
          <w:spacing w:val="-6"/>
          <w:sz w:val="22"/>
          <w:szCs w:val="22"/>
        </w:rPr>
        <w:t>e</w:t>
      </w:r>
      <w:r w:rsidRPr="00315A49">
        <w:rPr>
          <w:spacing w:val="-6"/>
          <w:sz w:val="22"/>
          <w:szCs w:val="22"/>
        </w:rPr>
        <w:t xml:space="preserve">ffective prime rate of interest published under "Money Rates" by The Wall Street Journal, plus two percent </w:t>
      </w:r>
      <w:r>
        <w:rPr>
          <w:spacing w:val="-6"/>
          <w:sz w:val="22"/>
          <w:szCs w:val="22"/>
        </w:rPr>
        <w:t xml:space="preserve">(2%) </w:t>
      </w:r>
      <w:r w:rsidRPr="00315A49">
        <w:rPr>
          <w:spacing w:val="-6"/>
          <w:sz w:val="22"/>
          <w:szCs w:val="22"/>
        </w:rPr>
        <w:t>per annum; or (</w:t>
      </w:r>
      <w:r w:rsidRPr="00315A49">
        <w:rPr>
          <w:noProof/>
          <w:spacing w:val="-6"/>
          <w:sz w:val="22"/>
          <w:szCs w:val="22"/>
        </w:rPr>
        <w:t>ii</w:t>
      </w:r>
      <w:r w:rsidRPr="00315A49">
        <w:rPr>
          <w:spacing w:val="-6"/>
          <w:sz w:val="22"/>
          <w:szCs w:val="22"/>
        </w:rPr>
        <w:t>) the maximum applicable lawful interest rate.</w:t>
      </w:r>
      <w:r>
        <w:rPr>
          <w:spacing w:val="-6"/>
          <w:sz w:val="22"/>
          <w:szCs w:val="22"/>
        </w:rPr>
        <w:t xml:space="preserve"> Alternatively, i</w:t>
      </w:r>
      <w:r w:rsidRPr="00315A49">
        <w:rPr>
          <w:spacing w:val="-6"/>
          <w:sz w:val="22"/>
          <w:szCs w:val="22"/>
        </w:rPr>
        <w:t>f Buyer fails to remit the full amount payable when due,</w:t>
      </w:r>
      <w:r>
        <w:rPr>
          <w:spacing w:val="-6"/>
          <w:sz w:val="22"/>
          <w:szCs w:val="22"/>
        </w:rPr>
        <w:t xml:space="preserve"> Seller may elect to terminate this sale without liability to Buyer.</w:t>
      </w:r>
    </w:p>
    <w:p w:rsidR="0014798C" w:rsidRPr="00315A49" w:rsidRDefault="0014798C" w:rsidP="0014798C">
      <w:pPr>
        <w:widowControl w:val="0"/>
        <w:tabs>
          <w:tab w:val="left" w:pos="540"/>
        </w:tabs>
        <w:jc w:val="both"/>
        <w:rPr>
          <w:sz w:val="22"/>
          <w:szCs w:val="22"/>
        </w:rPr>
      </w:pPr>
    </w:p>
    <w:p w:rsidR="0014798C" w:rsidRPr="00315A49" w:rsidRDefault="0014798C" w:rsidP="00BC37DC">
      <w:pPr>
        <w:rPr>
          <w:sz w:val="22"/>
          <w:szCs w:val="22"/>
        </w:rPr>
      </w:pPr>
      <w:r>
        <w:rPr>
          <w:sz w:val="22"/>
          <w:szCs w:val="22"/>
        </w:rPr>
        <w:t>3</w:t>
      </w:r>
      <w:r w:rsidRPr="00315A49">
        <w:rPr>
          <w:snapToGrid w:val="0"/>
          <w:sz w:val="22"/>
          <w:szCs w:val="22"/>
        </w:rPr>
        <w:t>.</w:t>
      </w:r>
      <w:r w:rsidRPr="00315A49">
        <w:rPr>
          <w:snapToGrid w:val="0"/>
          <w:sz w:val="22"/>
          <w:szCs w:val="22"/>
        </w:rPr>
        <w:tab/>
      </w:r>
      <w:r w:rsidR="005D0977">
        <w:rPr>
          <w:snapToGrid w:val="0"/>
          <w:sz w:val="22"/>
          <w:szCs w:val="22"/>
          <w:u w:val="single"/>
        </w:rPr>
        <w:t>Pick Up</w:t>
      </w:r>
      <w:r w:rsidR="005D0977" w:rsidRPr="00315A49">
        <w:rPr>
          <w:snapToGrid w:val="0"/>
          <w:sz w:val="22"/>
          <w:szCs w:val="22"/>
        </w:rPr>
        <w:t>:</w:t>
      </w:r>
      <w:r w:rsidR="005D0977" w:rsidRPr="00315A49">
        <w:rPr>
          <w:sz w:val="22"/>
          <w:szCs w:val="22"/>
        </w:rPr>
        <w:t xml:space="preserve"> </w:t>
      </w:r>
      <w:r w:rsidR="005D0977">
        <w:rPr>
          <w:sz w:val="22"/>
          <w:szCs w:val="22"/>
        </w:rPr>
        <w:t xml:space="preserve">  Pick Up</w:t>
      </w:r>
      <w:r w:rsidR="005D0977" w:rsidRPr="00315A49">
        <w:rPr>
          <w:sz w:val="22"/>
          <w:szCs w:val="22"/>
        </w:rPr>
        <w:t xml:space="preserve"> of the Goods will be Ex Works</w:t>
      </w:r>
      <w:r w:rsidR="005D0977">
        <w:rPr>
          <w:sz w:val="22"/>
          <w:szCs w:val="22"/>
        </w:rPr>
        <w:t xml:space="preserve">, </w:t>
      </w:r>
      <w:r w:rsidR="005D0977" w:rsidRPr="00315A49">
        <w:rPr>
          <w:sz w:val="22"/>
          <w:szCs w:val="22"/>
        </w:rPr>
        <w:t xml:space="preserve">as such term </w:t>
      </w:r>
      <w:r w:rsidR="005D0977">
        <w:rPr>
          <w:sz w:val="22"/>
          <w:szCs w:val="22"/>
        </w:rPr>
        <w:t xml:space="preserve">is defined in Incoterms 2010, as </w:t>
      </w:r>
      <w:r w:rsidR="002E08D5" w:rsidRPr="002E08D5">
        <w:rPr>
          <w:sz w:val="22"/>
          <w:szCs w:val="22"/>
          <w:highlight w:val="yellow"/>
        </w:rPr>
        <w:t xml:space="preserve">XXXXX Road </w:t>
      </w:r>
      <w:r w:rsidR="004B0480" w:rsidRPr="002E08D5">
        <w:rPr>
          <w:rFonts w:ascii="Arial" w:hAnsi="Arial" w:cs="Arial"/>
          <w:b/>
          <w:sz w:val="20"/>
          <w:szCs w:val="20"/>
          <w:highlight w:val="yellow"/>
        </w:rPr>
        <w:t xml:space="preserve"> Houma</w:t>
      </w:r>
      <w:r w:rsidR="004B0480" w:rsidRPr="002F49F7">
        <w:rPr>
          <w:rFonts w:ascii="Arial" w:hAnsi="Arial" w:cs="Arial"/>
          <w:b/>
          <w:sz w:val="20"/>
          <w:szCs w:val="20"/>
          <w:highlight w:val="yellow"/>
        </w:rPr>
        <w:t>, LA</w:t>
      </w:r>
      <w:r w:rsidR="00BC37DC" w:rsidRPr="004B0480">
        <w:t xml:space="preserve"> </w:t>
      </w:r>
      <w:r w:rsidR="005D0977" w:rsidRPr="004B0480">
        <w:rPr>
          <w:sz w:val="22"/>
          <w:szCs w:val="22"/>
        </w:rPr>
        <w:t xml:space="preserve">(the “ Pick Up Location </w:t>
      </w:r>
      <w:r w:rsidR="0018305B" w:rsidRPr="004B0480">
        <w:rPr>
          <w:sz w:val="22"/>
          <w:szCs w:val="22"/>
        </w:rPr>
        <w:t>”)</w:t>
      </w:r>
      <w:r w:rsidRPr="004B0480">
        <w:rPr>
          <w:sz w:val="22"/>
          <w:szCs w:val="22"/>
        </w:rPr>
        <w:t>.  Notwithstanding any provision of Incot</w:t>
      </w:r>
      <w:r>
        <w:rPr>
          <w:sz w:val="22"/>
          <w:szCs w:val="22"/>
        </w:rPr>
        <w:t>erms 2010 to the contrary, a</w:t>
      </w:r>
      <w:r w:rsidRPr="00315A49">
        <w:rPr>
          <w:sz w:val="22"/>
          <w:szCs w:val="22"/>
        </w:rPr>
        <w:t xml:space="preserve">s between Buyer and Seller, the risk of loss for the Goods shall pass to Buyer upon </w:t>
      </w:r>
      <w:r>
        <w:rPr>
          <w:sz w:val="22"/>
          <w:szCs w:val="22"/>
        </w:rPr>
        <w:t xml:space="preserve">the Parties’ execution of this Agreement and </w:t>
      </w:r>
      <w:r w:rsidRPr="00315A49">
        <w:rPr>
          <w:sz w:val="22"/>
          <w:szCs w:val="22"/>
        </w:rPr>
        <w:t xml:space="preserve">Buyer will bear sole responsibility for any and all costs of inspection, handling, moving the Goods from </w:t>
      </w:r>
      <w:r>
        <w:rPr>
          <w:sz w:val="22"/>
          <w:szCs w:val="22"/>
        </w:rPr>
        <w:t xml:space="preserve">the Delivery Location </w:t>
      </w:r>
      <w:r w:rsidRPr="00315A49">
        <w:rPr>
          <w:sz w:val="22"/>
          <w:szCs w:val="22"/>
        </w:rPr>
        <w:t xml:space="preserve">to the loading dock, loading onto Buyer’s vessel, </w:t>
      </w:r>
      <w:r>
        <w:rPr>
          <w:sz w:val="22"/>
          <w:szCs w:val="22"/>
        </w:rPr>
        <w:t xml:space="preserve">truck or other means of transport, </w:t>
      </w:r>
      <w:r w:rsidRPr="00315A49">
        <w:rPr>
          <w:sz w:val="22"/>
          <w:szCs w:val="22"/>
        </w:rPr>
        <w:t xml:space="preserve">and transporting </w:t>
      </w:r>
      <w:r>
        <w:rPr>
          <w:sz w:val="22"/>
          <w:szCs w:val="22"/>
        </w:rPr>
        <w:t xml:space="preserve">and unloading </w:t>
      </w:r>
      <w:r w:rsidRPr="00315A49">
        <w:rPr>
          <w:sz w:val="22"/>
          <w:szCs w:val="22"/>
        </w:rPr>
        <w:t>the Goods subsequent to their delivery.</w:t>
      </w:r>
      <w:r>
        <w:rPr>
          <w:sz w:val="22"/>
          <w:szCs w:val="22"/>
        </w:rPr>
        <w:t xml:space="preserve"> </w:t>
      </w:r>
      <w:r w:rsidRPr="00315A49">
        <w:rPr>
          <w:sz w:val="22"/>
          <w:szCs w:val="22"/>
        </w:rPr>
        <w:t xml:space="preserve"> Buyer shall also be solely responsible for procuring any required import or export permit</w:t>
      </w:r>
      <w:r>
        <w:rPr>
          <w:sz w:val="22"/>
          <w:szCs w:val="22"/>
        </w:rPr>
        <w:t>s</w:t>
      </w:r>
      <w:r w:rsidRPr="00315A49">
        <w:rPr>
          <w:sz w:val="22"/>
          <w:szCs w:val="22"/>
        </w:rPr>
        <w:t xml:space="preserve"> or authorization for the Goods. </w:t>
      </w:r>
    </w:p>
    <w:p w:rsidR="0014798C" w:rsidRPr="00315A49" w:rsidRDefault="0014798C" w:rsidP="0014798C">
      <w:pPr>
        <w:widowControl w:val="0"/>
        <w:tabs>
          <w:tab w:val="left" w:pos="540"/>
        </w:tabs>
        <w:jc w:val="both"/>
        <w:rPr>
          <w:snapToGrid w:val="0"/>
          <w:sz w:val="22"/>
          <w:szCs w:val="22"/>
        </w:rPr>
      </w:pPr>
    </w:p>
    <w:p w:rsidR="0014798C" w:rsidRPr="009E3A92" w:rsidRDefault="0014798C" w:rsidP="0014798C">
      <w:pPr>
        <w:widowControl w:val="0"/>
        <w:tabs>
          <w:tab w:val="left" w:pos="540"/>
        </w:tabs>
        <w:jc w:val="both"/>
        <w:rPr>
          <w:spacing w:val="-3"/>
          <w:sz w:val="22"/>
          <w:szCs w:val="22"/>
        </w:rPr>
      </w:pPr>
      <w:r>
        <w:rPr>
          <w:snapToGrid w:val="0"/>
          <w:sz w:val="22"/>
          <w:szCs w:val="22"/>
        </w:rPr>
        <w:t>4</w:t>
      </w:r>
      <w:r w:rsidRPr="00315A49">
        <w:rPr>
          <w:snapToGrid w:val="0"/>
          <w:sz w:val="22"/>
          <w:szCs w:val="22"/>
        </w:rPr>
        <w:t>.</w:t>
      </w:r>
      <w:r w:rsidRPr="00315A49">
        <w:rPr>
          <w:snapToGrid w:val="0"/>
          <w:sz w:val="22"/>
          <w:szCs w:val="22"/>
        </w:rPr>
        <w:tab/>
      </w:r>
      <w:r w:rsidRPr="00315A49">
        <w:rPr>
          <w:snapToGrid w:val="0"/>
          <w:sz w:val="22"/>
          <w:szCs w:val="22"/>
          <w:u w:val="single"/>
        </w:rPr>
        <w:t>Indemnity</w:t>
      </w:r>
      <w:r w:rsidRPr="00315A49">
        <w:rPr>
          <w:snapToGrid w:val="0"/>
          <w:sz w:val="22"/>
          <w:szCs w:val="22"/>
        </w:rPr>
        <w:t xml:space="preserve">:  Buyer shall be solely liable and responsible, and shall </w:t>
      </w:r>
      <w:r>
        <w:rPr>
          <w:snapToGrid w:val="0"/>
          <w:sz w:val="22"/>
          <w:szCs w:val="22"/>
        </w:rPr>
        <w:t xml:space="preserve">release, </w:t>
      </w:r>
      <w:r w:rsidRPr="00315A49">
        <w:rPr>
          <w:snapToGrid w:val="0"/>
          <w:sz w:val="22"/>
          <w:szCs w:val="22"/>
        </w:rPr>
        <w:t xml:space="preserve">protect, defend, indemnify, and hold </w:t>
      </w:r>
      <w:r>
        <w:rPr>
          <w:snapToGrid w:val="0"/>
          <w:sz w:val="22"/>
          <w:szCs w:val="22"/>
        </w:rPr>
        <w:t xml:space="preserve">the </w:t>
      </w:r>
      <w:r w:rsidRPr="00315A49">
        <w:rPr>
          <w:snapToGrid w:val="0"/>
          <w:sz w:val="22"/>
          <w:szCs w:val="22"/>
        </w:rPr>
        <w:t>Seller</w:t>
      </w:r>
      <w:r>
        <w:rPr>
          <w:snapToGrid w:val="0"/>
          <w:sz w:val="22"/>
          <w:szCs w:val="22"/>
        </w:rPr>
        <w:t xml:space="preserve"> Group (as defined below) </w:t>
      </w:r>
      <w:r w:rsidRPr="00315A49">
        <w:rPr>
          <w:snapToGrid w:val="0"/>
          <w:sz w:val="22"/>
          <w:szCs w:val="22"/>
        </w:rPr>
        <w:t xml:space="preserve">harmless from and against, any and all claims, damages, losses, costs (including legal fees), </w:t>
      </w:r>
      <w:r>
        <w:rPr>
          <w:snapToGrid w:val="0"/>
          <w:sz w:val="22"/>
          <w:szCs w:val="22"/>
        </w:rPr>
        <w:t xml:space="preserve">all environmental losses on account of pollution or contamination emanating from property, </w:t>
      </w:r>
      <w:r w:rsidRPr="00315A49">
        <w:rPr>
          <w:snapToGrid w:val="0"/>
          <w:sz w:val="22"/>
          <w:szCs w:val="22"/>
        </w:rPr>
        <w:t xml:space="preserve">or liabilities arising from personal injury, death, and/or property loss or damage caused by or resulting from the handling, loading/unloading, inspection, transportation, installation, use, resale, or performance of the Goods, subsequent to the time that the Goods have been </w:t>
      </w:r>
      <w:r w:rsidR="005D0977">
        <w:rPr>
          <w:snapToGrid w:val="0"/>
          <w:sz w:val="22"/>
          <w:szCs w:val="22"/>
        </w:rPr>
        <w:t>picked up at the location in Article 3,</w:t>
      </w:r>
      <w:r>
        <w:rPr>
          <w:snapToGrid w:val="0"/>
          <w:sz w:val="22"/>
          <w:szCs w:val="22"/>
        </w:rPr>
        <w:t xml:space="preserve"> including any claims arising from the presence or alleged presence of asbestos or NORM (as defined in Section 7 below); </w:t>
      </w:r>
      <w:r>
        <w:rPr>
          <w:b/>
          <w:bCs/>
          <w:sz w:val="18"/>
          <w:szCs w:val="18"/>
        </w:rPr>
        <w:t>EVEN IF SAID CLAIMS, DAMAGES, LOSSES, COSTS OR LIABILITIES RESULT, IN WHOLE OR PART, FROM NEGLIGENCE, STRICT LIABILITY OR PRODUCTS LIABILITY ATTRIBUTABLE TO THE SELLER GROUP, EXCEPTING HOWEVER THE GROSS NEGLIGENCE, OR WILFUL MISCONDUCT OF SELLER GROUP.</w:t>
      </w:r>
      <w:r>
        <w:rPr>
          <w:snapToGrid w:val="0"/>
          <w:sz w:val="22"/>
          <w:szCs w:val="22"/>
        </w:rPr>
        <w:t xml:space="preserve">  For purposes </w:t>
      </w:r>
      <w:r>
        <w:rPr>
          <w:snapToGrid w:val="0"/>
          <w:sz w:val="22"/>
          <w:szCs w:val="22"/>
        </w:rPr>
        <w:lastRenderedPageBreak/>
        <w:t xml:space="preserve">of the preceding sentence, the term “Seller Group” shall mean </w:t>
      </w:r>
      <w:r w:rsidRPr="008D32F7">
        <w:rPr>
          <w:sz w:val="22"/>
          <w:szCs w:val="22"/>
        </w:rPr>
        <w:t xml:space="preserve">and </w:t>
      </w:r>
      <w:r w:rsidRPr="008D32F7">
        <w:rPr>
          <w:spacing w:val="-3"/>
          <w:sz w:val="22"/>
          <w:szCs w:val="22"/>
        </w:rPr>
        <w:t>include, individually or in any combination, the</w:t>
      </w:r>
      <w:r>
        <w:rPr>
          <w:spacing w:val="-3"/>
          <w:sz w:val="22"/>
          <w:szCs w:val="22"/>
        </w:rPr>
        <w:t xml:space="preserve"> Seller</w:t>
      </w:r>
      <w:r w:rsidRPr="008D32F7">
        <w:rPr>
          <w:spacing w:val="-3"/>
          <w:sz w:val="22"/>
          <w:szCs w:val="22"/>
        </w:rPr>
        <w:t xml:space="preserve">, its </w:t>
      </w:r>
      <w:r>
        <w:rPr>
          <w:spacing w:val="-3"/>
          <w:sz w:val="22"/>
          <w:szCs w:val="22"/>
        </w:rPr>
        <w:t>parent a</w:t>
      </w:r>
      <w:r w:rsidRPr="008D32F7">
        <w:rPr>
          <w:spacing w:val="-3"/>
          <w:sz w:val="22"/>
          <w:szCs w:val="22"/>
        </w:rPr>
        <w:t>ffiliate</w:t>
      </w:r>
      <w:r>
        <w:rPr>
          <w:spacing w:val="-3"/>
          <w:sz w:val="22"/>
          <w:szCs w:val="22"/>
        </w:rPr>
        <w:t>d and subsidiary entities</w:t>
      </w:r>
      <w:r w:rsidRPr="008D32F7">
        <w:rPr>
          <w:spacing w:val="-3"/>
          <w:sz w:val="22"/>
          <w:szCs w:val="22"/>
        </w:rPr>
        <w:t>, partners, co-venturers, co-owners, co-lessees, contractors (other than</w:t>
      </w:r>
      <w:r>
        <w:rPr>
          <w:spacing w:val="-3"/>
          <w:sz w:val="22"/>
          <w:szCs w:val="22"/>
        </w:rPr>
        <w:t xml:space="preserve"> Buyer</w:t>
      </w:r>
      <w:r w:rsidRPr="008D32F7">
        <w:rPr>
          <w:spacing w:val="-3"/>
          <w:sz w:val="22"/>
          <w:szCs w:val="22"/>
        </w:rPr>
        <w:t xml:space="preserve">), </w:t>
      </w:r>
      <w:r>
        <w:rPr>
          <w:spacing w:val="-3"/>
          <w:sz w:val="22"/>
          <w:szCs w:val="22"/>
        </w:rPr>
        <w:t xml:space="preserve">subcontractors of any tier </w:t>
      </w:r>
      <w:r w:rsidRPr="008D32F7">
        <w:rPr>
          <w:spacing w:val="-3"/>
          <w:sz w:val="22"/>
          <w:szCs w:val="22"/>
        </w:rPr>
        <w:t>and all their respective directors, officers, employees, authorized agents, insurers, and underwriters</w:t>
      </w:r>
      <w:r>
        <w:rPr>
          <w:spacing w:val="-3"/>
          <w:sz w:val="22"/>
          <w:szCs w:val="22"/>
        </w:rPr>
        <w:t xml:space="preserve">. </w:t>
      </w:r>
    </w:p>
    <w:p w:rsidR="0014798C" w:rsidRPr="00315A49" w:rsidRDefault="0014798C" w:rsidP="0014798C">
      <w:pPr>
        <w:widowControl w:val="0"/>
        <w:tabs>
          <w:tab w:val="left" w:pos="540"/>
        </w:tabs>
        <w:jc w:val="both"/>
        <w:rPr>
          <w:sz w:val="22"/>
          <w:szCs w:val="22"/>
        </w:rPr>
      </w:pPr>
    </w:p>
    <w:p w:rsidR="0014798C" w:rsidRDefault="0014798C" w:rsidP="0014798C">
      <w:pPr>
        <w:widowControl w:val="0"/>
        <w:tabs>
          <w:tab w:val="left" w:pos="540"/>
        </w:tabs>
        <w:jc w:val="both"/>
        <w:rPr>
          <w:sz w:val="22"/>
          <w:szCs w:val="22"/>
        </w:rPr>
      </w:pPr>
    </w:p>
    <w:p w:rsidR="0014798C" w:rsidRPr="00315A49" w:rsidRDefault="0014798C" w:rsidP="0014798C">
      <w:pPr>
        <w:widowControl w:val="0"/>
        <w:tabs>
          <w:tab w:val="left" w:pos="540"/>
        </w:tabs>
        <w:jc w:val="both"/>
        <w:rPr>
          <w:sz w:val="22"/>
          <w:szCs w:val="22"/>
        </w:rPr>
      </w:pPr>
      <w:r>
        <w:rPr>
          <w:sz w:val="22"/>
          <w:szCs w:val="22"/>
        </w:rPr>
        <w:t>5</w:t>
      </w:r>
      <w:r w:rsidRPr="00315A49">
        <w:rPr>
          <w:sz w:val="22"/>
          <w:szCs w:val="22"/>
        </w:rPr>
        <w:t>.</w:t>
      </w:r>
      <w:r w:rsidRPr="00315A49">
        <w:rPr>
          <w:sz w:val="22"/>
          <w:szCs w:val="22"/>
        </w:rPr>
        <w:tab/>
      </w:r>
      <w:r w:rsidRPr="00315A49">
        <w:rPr>
          <w:sz w:val="22"/>
          <w:szCs w:val="22"/>
          <w:u w:val="single"/>
        </w:rPr>
        <w:t xml:space="preserve"> </w:t>
      </w:r>
      <w:r>
        <w:rPr>
          <w:sz w:val="22"/>
          <w:szCs w:val="22"/>
          <w:u w:val="single"/>
        </w:rPr>
        <w:t>Seller’s Warranty</w:t>
      </w:r>
      <w:r w:rsidRPr="00315A49">
        <w:rPr>
          <w:sz w:val="22"/>
          <w:szCs w:val="22"/>
          <w:u w:val="single"/>
        </w:rPr>
        <w:t>; Transfer by Seller of Warranties</w:t>
      </w:r>
      <w:r w:rsidRPr="00315A49">
        <w:rPr>
          <w:sz w:val="22"/>
          <w:szCs w:val="22"/>
        </w:rPr>
        <w:t xml:space="preserve">:  Seller warrants to Buyer that Seller </w:t>
      </w:r>
      <w:r>
        <w:rPr>
          <w:sz w:val="22"/>
          <w:szCs w:val="22"/>
        </w:rPr>
        <w:t xml:space="preserve">has not conveyed to any other person or entity Seller’s right, title, and interest in </w:t>
      </w:r>
      <w:r w:rsidRPr="00315A49">
        <w:rPr>
          <w:sz w:val="22"/>
          <w:szCs w:val="22"/>
        </w:rPr>
        <w:t xml:space="preserve">the Goods.  In addition, Seller </w:t>
      </w:r>
      <w:r>
        <w:rPr>
          <w:sz w:val="22"/>
          <w:szCs w:val="22"/>
        </w:rPr>
        <w:t xml:space="preserve">hereby </w:t>
      </w:r>
      <w:r w:rsidRPr="00315A49">
        <w:rPr>
          <w:sz w:val="22"/>
          <w:szCs w:val="22"/>
        </w:rPr>
        <w:t>transfers to Buyer a</w:t>
      </w:r>
      <w:r>
        <w:rPr>
          <w:sz w:val="22"/>
          <w:szCs w:val="22"/>
        </w:rPr>
        <w:t>ny</w:t>
      </w:r>
      <w:r w:rsidRPr="00315A49">
        <w:rPr>
          <w:sz w:val="22"/>
          <w:szCs w:val="22"/>
        </w:rPr>
        <w:t xml:space="preserve"> warrant</w:t>
      </w:r>
      <w:r>
        <w:rPr>
          <w:sz w:val="22"/>
          <w:szCs w:val="22"/>
        </w:rPr>
        <w:t>y</w:t>
      </w:r>
      <w:r w:rsidRPr="00315A49">
        <w:rPr>
          <w:sz w:val="22"/>
          <w:szCs w:val="22"/>
        </w:rPr>
        <w:t xml:space="preserve"> </w:t>
      </w:r>
      <w:r>
        <w:rPr>
          <w:sz w:val="22"/>
          <w:szCs w:val="22"/>
        </w:rPr>
        <w:t>or</w:t>
      </w:r>
      <w:r w:rsidRPr="00315A49">
        <w:rPr>
          <w:sz w:val="22"/>
          <w:szCs w:val="22"/>
        </w:rPr>
        <w:t xml:space="preserve"> guarantee </w:t>
      </w:r>
      <w:r>
        <w:rPr>
          <w:sz w:val="22"/>
          <w:szCs w:val="22"/>
        </w:rPr>
        <w:t>made to Seller by the manufacturer and/or supplier of the Goods</w:t>
      </w:r>
      <w:r w:rsidRPr="00315A49">
        <w:rPr>
          <w:sz w:val="22"/>
          <w:szCs w:val="22"/>
        </w:rPr>
        <w:t xml:space="preserve">, to the extent the same </w:t>
      </w:r>
      <w:r>
        <w:rPr>
          <w:sz w:val="22"/>
          <w:szCs w:val="22"/>
        </w:rPr>
        <w:t>is</w:t>
      </w:r>
      <w:r w:rsidRPr="00315A49">
        <w:rPr>
          <w:sz w:val="22"/>
          <w:szCs w:val="22"/>
        </w:rPr>
        <w:t xml:space="preserve"> transferable.</w:t>
      </w:r>
    </w:p>
    <w:p w:rsidR="0014798C" w:rsidRPr="00315A49" w:rsidRDefault="0014798C" w:rsidP="0014798C">
      <w:pPr>
        <w:widowControl w:val="0"/>
        <w:tabs>
          <w:tab w:val="left" w:pos="540"/>
        </w:tabs>
        <w:jc w:val="both"/>
        <w:rPr>
          <w:sz w:val="22"/>
          <w:szCs w:val="22"/>
        </w:rPr>
      </w:pPr>
    </w:p>
    <w:p w:rsidR="0014798C" w:rsidRDefault="0014798C" w:rsidP="0014798C">
      <w:pPr>
        <w:widowControl w:val="0"/>
        <w:tabs>
          <w:tab w:val="left" w:pos="540"/>
        </w:tabs>
        <w:jc w:val="both"/>
        <w:rPr>
          <w:b/>
          <w:sz w:val="22"/>
          <w:szCs w:val="22"/>
        </w:rPr>
      </w:pPr>
      <w:r>
        <w:rPr>
          <w:sz w:val="22"/>
          <w:szCs w:val="22"/>
        </w:rPr>
        <w:t>6</w:t>
      </w:r>
      <w:r w:rsidRPr="00315A49">
        <w:rPr>
          <w:sz w:val="22"/>
          <w:szCs w:val="22"/>
        </w:rPr>
        <w:t>.</w:t>
      </w:r>
      <w:r w:rsidRPr="00315A49">
        <w:rPr>
          <w:sz w:val="22"/>
          <w:szCs w:val="22"/>
        </w:rPr>
        <w:tab/>
      </w:r>
      <w:r w:rsidRPr="00315A49">
        <w:rPr>
          <w:b/>
          <w:sz w:val="22"/>
          <w:szCs w:val="22"/>
          <w:u w:val="single"/>
        </w:rPr>
        <w:t>Disclaimer by Seller of Other Warranties</w:t>
      </w:r>
      <w:r w:rsidRPr="00315A49">
        <w:rPr>
          <w:b/>
          <w:sz w:val="22"/>
          <w:szCs w:val="22"/>
        </w:rPr>
        <w:t xml:space="preserve">: </w:t>
      </w:r>
      <w:r>
        <w:rPr>
          <w:b/>
          <w:sz w:val="22"/>
          <w:szCs w:val="22"/>
        </w:rPr>
        <w:t xml:space="preserve"> </w:t>
      </w:r>
      <w:r w:rsidRPr="00315A49">
        <w:rPr>
          <w:b/>
          <w:sz w:val="22"/>
          <w:szCs w:val="22"/>
        </w:rPr>
        <w:t xml:space="preserve">Except as stated in the Section 5 above, Buyer acknowledges that Seller has not made, and Seller hereby expressly disclaims and negates, any warranty, representation, or allegation (referred to jointly as “Warranty”), express or implied, relating to the Goods, including, without limitation, </w:t>
      </w:r>
      <w:r>
        <w:rPr>
          <w:b/>
          <w:sz w:val="22"/>
          <w:szCs w:val="22"/>
        </w:rPr>
        <w:t>(</w:t>
      </w:r>
      <w:r w:rsidRPr="00315A49">
        <w:rPr>
          <w:b/>
          <w:sz w:val="22"/>
          <w:szCs w:val="22"/>
        </w:rPr>
        <w:t xml:space="preserve">1) any Warranty of the condition, fitness for a particular purpose, or merchantability of the Goods, </w:t>
      </w:r>
      <w:r>
        <w:rPr>
          <w:b/>
          <w:sz w:val="22"/>
          <w:szCs w:val="22"/>
        </w:rPr>
        <w:t>(</w:t>
      </w:r>
      <w:r w:rsidRPr="00315A49">
        <w:rPr>
          <w:b/>
          <w:sz w:val="22"/>
          <w:szCs w:val="22"/>
        </w:rPr>
        <w:t xml:space="preserve">2)  any Warranty of conformity to models or samples of any kind, </w:t>
      </w:r>
      <w:r>
        <w:rPr>
          <w:b/>
          <w:sz w:val="22"/>
          <w:szCs w:val="22"/>
        </w:rPr>
        <w:t>(</w:t>
      </w:r>
      <w:r w:rsidRPr="00315A49">
        <w:rPr>
          <w:b/>
          <w:sz w:val="22"/>
          <w:szCs w:val="22"/>
        </w:rPr>
        <w:t xml:space="preserve">3) any Warranty of freedom from patent or trademark infringement, </w:t>
      </w:r>
      <w:r>
        <w:rPr>
          <w:b/>
          <w:sz w:val="22"/>
          <w:szCs w:val="22"/>
        </w:rPr>
        <w:t>(</w:t>
      </w:r>
      <w:r w:rsidRPr="00315A49">
        <w:rPr>
          <w:b/>
          <w:sz w:val="22"/>
          <w:szCs w:val="22"/>
        </w:rPr>
        <w:t xml:space="preserve">4) any Warranty of freedom from vices or defects of any kind, whether known or unknown, and, </w:t>
      </w:r>
      <w:r>
        <w:rPr>
          <w:b/>
          <w:sz w:val="22"/>
          <w:szCs w:val="22"/>
        </w:rPr>
        <w:t>(</w:t>
      </w:r>
      <w:r w:rsidRPr="00315A49">
        <w:rPr>
          <w:b/>
          <w:sz w:val="22"/>
          <w:szCs w:val="22"/>
        </w:rPr>
        <w:t xml:space="preserve">5) any Warranty pertaining to the protection or preservation of health or the environment. It is the express intention of Seller and Buyer that the Goods </w:t>
      </w:r>
      <w:r>
        <w:rPr>
          <w:b/>
          <w:sz w:val="22"/>
          <w:szCs w:val="22"/>
        </w:rPr>
        <w:t>will be</w:t>
      </w:r>
      <w:r w:rsidRPr="00315A49">
        <w:rPr>
          <w:b/>
          <w:sz w:val="22"/>
          <w:szCs w:val="22"/>
        </w:rPr>
        <w:t xml:space="preserve"> conveyed to Buyer </w:t>
      </w:r>
      <w:r>
        <w:rPr>
          <w:b/>
          <w:sz w:val="22"/>
          <w:szCs w:val="22"/>
        </w:rPr>
        <w:t>“</w:t>
      </w:r>
      <w:r w:rsidRPr="00315A49">
        <w:rPr>
          <w:b/>
          <w:sz w:val="22"/>
          <w:szCs w:val="22"/>
        </w:rPr>
        <w:t>as is</w:t>
      </w:r>
      <w:r>
        <w:rPr>
          <w:b/>
          <w:sz w:val="22"/>
          <w:szCs w:val="22"/>
        </w:rPr>
        <w:t>”</w:t>
      </w:r>
      <w:r w:rsidRPr="00315A49">
        <w:rPr>
          <w:b/>
          <w:sz w:val="22"/>
          <w:szCs w:val="22"/>
        </w:rPr>
        <w:t xml:space="preserve"> and in their present condition and state of repair. Buyer represents that it has made or caused to be made such inspections of the Goods as Buyer deems appropriate and that it will accept the Goods as is and in their present condition and state of repair. </w:t>
      </w:r>
    </w:p>
    <w:p w:rsidR="0014798C" w:rsidRPr="00315A49" w:rsidRDefault="0014798C" w:rsidP="0014798C">
      <w:pPr>
        <w:widowControl w:val="0"/>
        <w:tabs>
          <w:tab w:val="left" w:pos="540"/>
        </w:tabs>
        <w:jc w:val="both"/>
        <w:rPr>
          <w:b/>
          <w:sz w:val="22"/>
          <w:szCs w:val="22"/>
        </w:rPr>
      </w:pPr>
    </w:p>
    <w:p w:rsidR="00957116" w:rsidRDefault="0014798C" w:rsidP="00957116">
      <w:pPr>
        <w:jc w:val="both"/>
        <w:rPr>
          <w:b/>
          <w:bCs/>
          <w:color w:val="000000"/>
        </w:rPr>
      </w:pPr>
      <w:r>
        <w:rPr>
          <w:sz w:val="22"/>
          <w:szCs w:val="22"/>
        </w:rPr>
        <w:t>7</w:t>
      </w:r>
      <w:r w:rsidRPr="00315A49">
        <w:rPr>
          <w:sz w:val="22"/>
          <w:szCs w:val="22"/>
        </w:rPr>
        <w:t xml:space="preserve">. </w:t>
      </w:r>
      <w:r w:rsidRPr="00315A49">
        <w:rPr>
          <w:sz w:val="22"/>
          <w:szCs w:val="22"/>
        </w:rPr>
        <w:tab/>
      </w:r>
      <w:r w:rsidRPr="00F00D05">
        <w:rPr>
          <w:b/>
          <w:sz w:val="22"/>
          <w:szCs w:val="22"/>
          <w:u w:val="single"/>
        </w:rPr>
        <w:t>Disclaimer by Seller Regarding Asbestos and NORM</w:t>
      </w:r>
      <w:r w:rsidRPr="00F00D05">
        <w:rPr>
          <w:b/>
          <w:sz w:val="22"/>
          <w:szCs w:val="22"/>
        </w:rPr>
        <w:t xml:space="preserve">:  </w:t>
      </w:r>
      <w:r w:rsidR="00957116">
        <w:rPr>
          <w:b/>
          <w:bCs/>
        </w:rPr>
        <w:t>Seller and Buyer acknowledge that s</w:t>
      </w:r>
      <w:r w:rsidR="00957116">
        <w:rPr>
          <w:b/>
          <w:bCs/>
          <w:color w:val="000000"/>
        </w:rPr>
        <w:t xml:space="preserve">ome components of the Goods may contain asbestos or naturally occurring radioactive material (hereinafter referred to as “NORM”).  In this regard, Buyer expressly understands that NORM may affix or attach itself to the inside of equipment and that said equipment of the Goods may contain NORM and that NORM-containing material may be buried or otherwise disposed of on or near the Goods.  Buyer also expressly understands that special procedures may be required for the remediation, removal, transportation and disposal of asbestos and NORM from the Goods where they may be found.  </w:t>
      </w:r>
    </w:p>
    <w:p w:rsidR="00957116" w:rsidRDefault="00957116" w:rsidP="00957116">
      <w:pPr>
        <w:jc w:val="both"/>
        <w:rPr>
          <w:b/>
          <w:bCs/>
          <w:color w:val="000000"/>
        </w:rPr>
      </w:pPr>
    </w:p>
    <w:p w:rsidR="00957116" w:rsidRDefault="00957116" w:rsidP="00957116">
      <w:pPr>
        <w:jc w:val="both"/>
        <w:rPr>
          <w:b/>
          <w:bCs/>
          <w:color w:val="000000"/>
        </w:rPr>
      </w:pPr>
      <w:r>
        <w:rPr>
          <w:b/>
          <w:bCs/>
          <w:color w:val="000000"/>
        </w:rPr>
        <w:t>Seller shall be responsible for all  costs in connection with assessment, remediation, removal, transportation, and disposal of any asbestos and NORM present in the Goods and associated activities in accordance with all applicable rules, regulations and requirements of governmental agencies, provided, however, that Buyer shall notify Seller of the presence of any such asbestos or NORM within 24 hours after taking possession of the Goods.</w:t>
      </w:r>
    </w:p>
    <w:p w:rsidR="0014798C" w:rsidRDefault="0014798C" w:rsidP="0014798C">
      <w:pPr>
        <w:widowControl w:val="0"/>
        <w:tabs>
          <w:tab w:val="left" w:pos="540"/>
        </w:tabs>
        <w:jc w:val="both"/>
        <w:rPr>
          <w:b/>
          <w:color w:val="000000"/>
          <w:sz w:val="22"/>
          <w:szCs w:val="22"/>
        </w:rPr>
      </w:pPr>
    </w:p>
    <w:p w:rsidR="0014798C" w:rsidRDefault="0014798C" w:rsidP="0014798C">
      <w:pPr>
        <w:tabs>
          <w:tab w:val="left" w:pos="360"/>
        </w:tabs>
        <w:jc w:val="both"/>
        <w:rPr>
          <w:color w:val="000000"/>
          <w:sz w:val="22"/>
          <w:szCs w:val="22"/>
        </w:rPr>
      </w:pPr>
    </w:p>
    <w:p w:rsidR="0014798C" w:rsidRPr="00FE0780" w:rsidRDefault="0014798C" w:rsidP="0014798C">
      <w:pPr>
        <w:tabs>
          <w:tab w:val="left" w:pos="360"/>
        </w:tabs>
        <w:jc w:val="both"/>
        <w:rPr>
          <w:sz w:val="22"/>
          <w:szCs w:val="22"/>
        </w:rPr>
      </w:pPr>
      <w:r w:rsidRPr="009C5241">
        <w:rPr>
          <w:color w:val="000000"/>
          <w:sz w:val="22"/>
          <w:szCs w:val="22"/>
        </w:rPr>
        <w:t>8.</w:t>
      </w:r>
      <w:r w:rsidRPr="009C5241">
        <w:rPr>
          <w:color w:val="000000"/>
          <w:sz w:val="22"/>
          <w:szCs w:val="22"/>
        </w:rPr>
        <w:tab/>
      </w:r>
      <w:r w:rsidRPr="009C5241">
        <w:rPr>
          <w:color w:val="000000"/>
          <w:sz w:val="22"/>
          <w:szCs w:val="22"/>
          <w:u w:val="single"/>
        </w:rPr>
        <w:t>Business Ethics, Administrative &amp; Legal Compliance</w:t>
      </w:r>
      <w:r>
        <w:rPr>
          <w:color w:val="000000"/>
          <w:sz w:val="22"/>
          <w:szCs w:val="22"/>
        </w:rPr>
        <w:t xml:space="preserve">: </w:t>
      </w:r>
      <w:r w:rsidRPr="00FE0780">
        <w:rPr>
          <w:sz w:val="22"/>
          <w:szCs w:val="22"/>
        </w:rPr>
        <w:t xml:space="preserve">It is </w:t>
      </w:r>
      <w:r>
        <w:rPr>
          <w:sz w:val="22"/>
          <w:szCs w:val="22"/>
        </w:rPr>
        <w:t>Seller</w:t>
      </w:r>
      <w:r w:rsidRPr="00FE0780">
        <w:rPr>
          <w:sz w:val="22"/>
          <w:szCs w:val="22"/>
        </w:rPr>
        <w:t xml:space="preserve">’s policy and practice that its business activities will be conducted in a fair, honest, ethical, and lawful manner and that all laws and regulations </w:t>
      </w:r>
      <w:r w:rsidRPr="00FE0780">
        <w:rPr>
          <w:sz w:val="22"/>
          <w:szCs w:val="22"/>
        </w:rPr>
        <w:lastRenderedPageBreak/>
        <w:t xml:space="preserve">governing the ethical and legal conduct of business organizations and entities in the United States will be strictly adhered to.  </w:t>
      </w:r>
    </w:p>
    <w:p w:rsidR="0014798C" w:rsidRDefault="0014798C" w:rsidP="0014798C">
      <w:pPr>
        <w:tabs>
          <w:tab w:val="left" w:pos="360"/>
        </w:tabs>
        <w:jc w:val="both"/>
        <w:rPr>
          <w:color w:val="000000"/>
          <w:sz w:val="22"/>
          <w:szCs w:val="22"/>
        </w:rPr>
      </w:pPr>
    </w:p>
    <w:p w:rsidR="002C1680" w:rsidRDefault="002C1680" w:rsidP="002C1680">
      <w:pPr>
        <w:tabs>
          <w:tab w:val="left" w:pos="360"/>
        </w:tabs>
        <w:jc w:val="both"/>
        <w:rPr>
          <w:sz w:val="22"/>
          <w:szCs w:val="22"/>
        </w:rPr>
      </w:pPr>
      <w:r>
        <w:rPr>
          <w:sz w:val="22"/>
          <w:szCs w:val="22"/>
        </w:rPr>
        <w:t xml:space="preserve">The Buyer declares it is aware of the laws regarding compliance obligations of companies and other legal entities and it is acquainted with: (i) the Eni Code of Ethics; (ii) the “Anti-Corruption Management System Guideline”; and (iii) the Eni Guidelines for the Protection and Promotion of Human Rights.  The documents under (i), (ii), and (iii) above are available on the website of SELLER and BUYER undertakes to comply with the principles contained therein. </w:t>
      </w:r>
    </w:p>
    <w:p w:rsidR="0014798C" w:rsidRDefault="0014798C" w:rsidP="0014798C">
      <w:pPr>
        <w:widowControl w:val="0"/>
        <w:tabs>
          <w:tab w:val="left" w:pos="540"/>
        </w:tabs>
        <w:jc w:val="both"/>
        <w:rPr>
          <w:sz w:val="22"/>
          <w:szCs w:val="22"/>
        </w:rPr>
      </w:pPr>
    </w:p>
    <w:p w:rsidR="0014798C" w:rsidRPr="00315A49" w:rsidRDefault="0014798C" w:rsidP="0014798C">
      <w:pPr>
        <w:pStyle w:val="BodyText"/>
        <w:tabs>
          <w:tab w:val="left" w:pos="540"/>
        </w:tabs>
        <w:jc w:val="both"/>
        <w:rPr>
          <w:sz w:val="22"/>
          <w:szCs w:val="22"/>
        </w:rPr>
      </w:pPr>
      <w:r>
        <w:rPr>
          <w:sz w:val="22"/>
          <w:szCs w:val="22"/>
        </w:rPr>
        <w:t>9</w:t>
      </w:r>
      <w:r w:rsidRPr="00315A49">
        <w:rPr>
          <w:sz w:val="22"/>
          <w:szCs w:val="22"/>
        </w:rPr>
        <w:t>.</w:t>
      </w:r>
      <w:r w:rsidRPr="00315A49">
        <w:rPr>
          <w:sz w:val="22"/>
          <w:szCs w:val="22"/>
        </w:rPr>
        <w:tab/>
      </w:r>
      <w:r w:rsidRPr="00315A49">
        <w:rPr>
          <w:sz w:val="22"/>
          <w:szCs w:val="22"/>
          <w:u w:val="single"/>
        </w:rPr>
        <w:t>Entire Agreement</w:t>
      </w:r>
      <w:r w:rsidRPr="00315A49">
        <w:rPr>
          <w:sz w:val="22"/>
          <w:szCs w:val="22"/>
        </w:rPr>
        <w:t xml:space="preserve">:  This Agreement constitutes the sole and entire agreement between Buyer and Seller for the sale of </w:t>
      </w:r>
      <w:r>
        <w:rPr>
          <w:sz w:val="22"/>
          <w:szCs w:val="22"/>
        </w:rPr>
        <w:t xml:space="preserve">Seller’s right, title and interest in and to </w:t>
      </w:r>
      <w:r w:rsidRPr="00315A49">
        <w:rPr>
          <w:sz w:val="22"/>
          <w:szCs w:val="22"/>
        </w:rPr>
        <w:t xml:space="preserve">the Goods and cancels, supersedes, and replaces any and all prior agreements, oral or written, pertaining or related thereto. </w:t>
      </w:r>
    </w:p>
    <w:p w:rsidR="0014798C" w:rsidRDefault="0014798C" w:rsidP="0014798C">
      <w:pPr>
        <w:pStyle w:val="BodyText"/>
        <w:tabs>
          <w:tab w:val="left" w:pos="540"/>
        </w:tabs>
        <w:jc w:val="both"/>
        <w:rPr>
          <w:sz w:val="22"/>
          <w:szCs w:val="22"/>
        </w:rPr>
      </w:pPr>
      <w:r>
        <w:rPr>
          <w:sz w:val="22"/>
          <w:szCs w:val="22"/>
        </w:rPr>
        <w:t>10</w:t>
      </w:r>
      <w:r w:rsidRPr="00315A49">
        <w:rPr>
          <w:sz w:val="22"/>
          <w:szCs w:val="22"/>
        </w:rPr>
        <w:t>.</w:t>
      </w:r>
      <w:r w:rsidRPr="00315A49">
        <w:rPr>
          <w:sz w:val="22"/>
          <w:szCs w:val="22"/>
        </w:rPr>
        <w:tab/>
      </w:r>
      <w:r w:rsidRPr="00315A49">
        <w:rPr>
          <w:sz w:val="22"/>
          <w:szCs w:val="22"/>
          <w:u w:val="single"/>
        </w:rPr>
        <w:t>Governing Law</w:t>
      </w:r>
      <w:r w:rsidRPr="00315A49">
        <w:rPr>
          <w:sz w:val="22"/>
          <w:szCs w:val="22"/>
        </w:rPr>
        <w:t xml:space="preserve">: This Agreement shall be construed and governed in accordance with the laws of the State of </w:t>
      </w:r>
      <w:smartTag w:uri="urn:schemas-microsoft-com:office:smarttags" w:element="State">
        <w:r w:rsidRPr="00315A49">
          <w:rPr>
            <w:sz w:val="22"/>
            <w:szCs w:val="22"/>
          </w:rPr>
          <w:t>Texas</w:t>
        </w:r>
      </w:smartTag>
      <w:r w:rsidRPr="00315A49">
        <w:rPr>
          <w:sz w:val="22"/>
          <w:szCs w:val="22"/>
        </w:rPr>
        <w:t xml:space="preserve">, </w:t>
      </w:r>
      <w:r>
        <w:rPr>
          <w:sz w:val="22"/>
          <w:szCs w:val="22"/>
        </w:rPr>
        <w:t>without regard to any conflicts of law principles of said jurisdiction that might require the application of the laws of another jurisdiction.  The Parties hereto agree to the exclusive venue of state and federal courts situated in Harris County, Texas with respect to any dispute resolution, including litigation, arising out of this Agreement.</w:t>
      </w:r>
    </w:p>
    <w:p w:rsidR="0014798C" w:rsidRDefault="0014798C" w:rsidP="0014798C">
      <w:pPr>
        <w:pStyle w:val="BodyText"/>
        <w:tabs>
          <w:tab w:val="left" w:pos="540"/>
        </w:tabs>
        <w:jc w:val="both"/>
        <w:rPr>
          <w:sz w:val="22"/>
          <w:szCs w:val="22"/>
        </w:rPr>
      </w:pPr>
    </w:p>
    <w:p w:rsidR="0014798C" w:rsidRPr="00315A49" w:rsidRDefault="0014798C" w:rsidP="0014798C">
      <w:pPr>
        <w:pStyle w:val="BodyText"/>
        <w:tabs>
          <w:tab w:val="left" w:pos="540"/>
        </w:tabs>
        <w:jc w:val="both"/>
        <w:rPr>
          <w:sz w:val="22"/>
          <w:szCs w:val="22"/>
        </w:rPr>
      </w:pPr>
      <w:r w:rsidRPr="00A33B69">
        <w:rPr>
          <w:b/>
          <w:i/>
          <w:sz w:val="22"/>
          <w:szCs w:val="22"/>
        </w:rPr>
        <w:t>IN WITNESS WHEREOF</w:t>
      </w:r>
      <w:r>
        <w:rPr>
          <w:sz w:val="22"/>
          <w:szCs w:val="22"/>
        </w:rPr>
        <w:t>, the Parties hereto have executed this Agreement, which may be executed in multiple counterparts, each of which shall be deemed an original and all of which shall constitute but one and the same instrument.</w:t>
      </w:r>
    </w:p>
    <w:p w:rsidR="0014798C" w:rsidRPr="00315A49" w:rsidRDefault="0014798C" w:rsidP="0014798C">
      <w:pPr>
        <w:pStyle w:val="BodyText"/>
        <w:tabs>
          <w:tab w:val="left" w:pos="540"/>
        </w:tabs>
        <w:rPr>
          <w:sz w:val="22"/>
          <w:szCs w:val="22"/>
        </w:rPr>
      </w:pPr>
      <w:r w:rsidRPr="00775ABC">
        <w:rPr>
          <w:b/>
          <w:sz w:val="22"/>
          <w:szCs w:val="22"/>
        </w:rPr>
        <w:t>SELLER:</w:t>
      </w:r>
      <w:r w:rsidRPr="00315A49">
        <w:rPr>
          <w:sz w:val="22"/>
          <w:szCs w:val="22"/>
        </w:rPr>
        <w:tab/>
      </w:r>
      <w:r w:rsidRPr="00315A49">
        <w:rPr>
          <w:sz w:val="22"/>
          <w:szCs w:val="22"/>
        </w:rPr>
        <w:tab/>
      </w:r>
      <w:r w:rsidRPr="00315A49">
        <w:rPr>
          <w:sz w:val="22"/>
          <w:szCs w:val="22"/>
        </w:rPr>
        <w:tab/>
      </w:r>
      <w:r w:rsidRPr="00315A49">
        <w:rPr>
          <w:sz w:val="22"/>
          <w:szCs w:val="22"/>
        </w:rPr>
        <w:tab/>
      </w:r>
      <w:r w:rsidRPr="00315A49">
        <w:rPr>
          <w:sz w:val="22"/>
          <w:szCs w:val="22"/>
        </w:rPr>
        <w:tab/>
      </w:r>
      <w:r w:rsidRPr="00315A49">
        <w:rPr>
          <w:sz w:val="22"/>
          <w:szCs w:val="22"/>
        </w:rPr>
        <w:tab/>
      </w:r>
      <w:r w:rsidRPr="00775ABC">
        <w:rPr>
          <w:b/>
          <w:sz w:val="22"/>
          <w:szCs w:val="22"/>
        </w:rPr>
        <w:t>BUYER:</w:t>
      </w:r>
      <w:r w:rsidRPr="00315A49">
        <w:rPr>
          <w:sz w:val="22"/>
          <w:szCs w:val="22"/>
        </w:rPr>
        <w:tab/>
      </w:r>
    </w:p>
    <w:p w:rsidR="0014798C" w:rsidRPr="004B0480" w:rsidRDefault="0014798C" w:rsidP="0014798C">
      <w:pPr>
        <w:rPr>
          <w:b/>
          <w:sz w:val="22"/>
          <w:szCs w:val="22"/>
        </w:rPr>
      </w:pPr>
      <w:r w:rsidRPr="00E005AA">
        <w:rPr>
          <w:b/>
          <w:sz w:val="22"/>
          <w:szCs w:val="22"/>
        </w:rPr>
        <w:t>Eni US Operating Co. Inc.</w:t>
      </w:r>
      <w:r w:rsidRPr="00315A49">
        <w:rPr>
          <w:sz w:val="22"/>
          <w:szCs w:val="22"/>
        </w:rPr>
        <w:tab/>
      </w:r>
      <w:r w:rsidRPr="00315A49">
        <w:rPr>
          <w:sz w:val="22"/>
          <w:szCs w:val="22"/>
        </w:rPr>
        <w:tab/>
      </w:r>
      <w:r w:rsidRPr="00315A49">
        <w:rPr>
          <w:sz w:val="22"/>
          <w:szCs w:val="22"/>
        </w:rPr>
        <w:tab/>
      </w:r>
      <w:r w:rsidRPr="00315A49">
        <w:rPr>
          <w:sz w:val="22"/>
          <w:szCs w:val="22"/>
        </w:rPr>
        <w:tab/>
      </w:r>
      <w:r w:rsidR="004B0480" w:rsidRPr="002F49F7">
        <w:rPr>
          <w:b/>
          <w:sz w:val="22"/>
          <w:szCs w:val="22"/>
          <w:highlight w:val="yellow"/>
        </w:rPr>
        <w:t>A</w:t>
      </w:r>
      <w:r w:rsidR="002E08D5">
        <w:rPr>
          <w:b/>
          <w:sz w:val="22"/>
          <w:szCs w:val="22"/>
          <w:highlight w:val="yellow"/>
        </w:rPr>
        <w:t>BC Company</w:t>
      </w:r>
      <w:r w:rsidR="004B0480" w:rsidRPr="002F49F7">
        <w:rPr>
          <w:b/>
          <w:sz w:val="22"/>
          <w:szCs w:val="22"/>
          <w:highlight w:val="yellow"/>
        </w:rPr>
        <w:t>, LLC</w:t>
      </w:r>
    </w:p>
    <w:p w:rsidR="0014798C" w:rsidRPr="00315A49" w:rsidRDefault="0014798C" w:rsidP="0014798C">
      <w:pPr>
        <w:pStyle w:val="BodyText"/>
        <w:tabs>
          <w:tab w:val="left" w:pos="540"/>
        </w:tabs>
        <w:spacing w:line="360" w:lineRule="auto"/>
        <w:rPr>
          <w:sz w:val="22"/>
          <w:szCs w:val="22"/>
        </w:rPr>
      </w:pPr>
      <w:r w:rsidRPr="00D109BD">
        <w:rPr>
          <w:b/>
          <w:sz w:val="22"/>
          <w:szCs w:val="22"/>
        </w:rPr>
        <w:t xml:space="preserve"> </w:t>
      </w:r>
      <w:r w:rsidRPr="00D109BD">
        <w:rPr>
          <w:b/>
          <w:sz w:val="22"/>
          <w:szCs w:val="22"/>
        </w:rPr>
        <w:tab/>
      </w:r>
      <w:r>
        <w:rPr>
          <w:sz w:val="22"/>
          <w:szCs w:val="22"/>
        </w:rPr>
        <w:tab/>
      </w:r>
      <w:r>
        <w:rPr>
          <w:sz w:val="22"/>
          <w:szCs w:val="22"/>
        </w:rPr>
        <w:tab/>
      </w:r>
      <w:r>
        <w:rPr>
          <w:sz w:val="22"/>
          <w:szCs w:val="22"/>
        </w:rPr>
        <w:tab/>
      </w:r>
      <w:r>
        <w:rPr>
          <w:sz w:val="22"/>
          <w:szCs w:val="22"/>
        </w:rPr>
        <w:tab/>
      </w:r>
    </w:p>
    <w:p w:rsidR="0014798C" w:rsidRPr="00315A49" w:rsidRDefault="0014798C" w:rsidP="0014798C">
      <w:pPr>
        <w:pStyle w:val="BodyText"/>
        <w:tabs>
          <w:tab w:val="left" w:pos="540"/>
        </w:tabs>
        <w:spacing w:line="360" w:lineRule="auto"/>
        <w:rPr>
          <w:sz w:val="22"/>
          <w:szCs w:val="22"/>
        </w:rPr>
      </w:pPr>
      <w:r w:rsidRPr="00315A49">
        <w:rPr>
          <w:sz w:val="22"/>
          <w:szCs w:val="22"/>
        </w:rPr>
        <w:t>By</w:t>
      </w:r>
      <w:r>
        <w:rPr>
          <w:sz w:val="22"/>
          <w:szCs w:val="22"/>
        </w:rPr>
        <w:t>:</w:t>
      </w:r>
      <w:r w:rsidRPr="00315A49">
        <w:rPr>
          <w:sz w:val="22"/>
          <w:szCs w:val="22"/>
        </w:rPr>
        <w:t xml:space="preserve"> </w:t>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rPr>
        <w:tab/>
      </w:r>
      <w:r w:rsidRPr="00315A49">
        <w:rPr>
          <w:sz w:val="22"/>
          <w:szCs w:val="22"/>
        </w:rPr>
        <w:tab/>
        <w:t>By</w:t>
      </w:r>
      <w:r>
        <w:rPr>
          <w:sz w:val="22"/>
          <w:szCs w:val="22"/>
        </w:rPr>
        <w:t>:</w:t>
      </w:r>
      <w:r w:rsidRPr="00315A49">
        <w:rPr>
          <w:sz w:val="22"/>
          <w:szCs w:val="22"/>
        </w:rPr>
        <w:t xml:space="preserve"> </w:t>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p>
    <w:p w:rsidR="0014798C" w:rsidRPr="00315A49" w:rsidRDefault="0014798C" w:rsidP="0014798C">
      <w:pPr>
        <w:pStyle w:val="BodyText"/>
        <w:tabs>
          <w:tab w:val="left" w:pos="540"/>
        </w:tabs>
        <w:spacing w:line="360" w:lineRule="auto"/>
        <w:rPr>
          <w:sz w:val="22"/>
          <w:szCs w:val="22"/>
        </w:rPr>
      </w:pPr>
      <w:r w:rsidRPr="00315A49">
        <w:rPr>
          <w:sz w:val="22"/>
          <w:szCs w:val="22"/>
        </w:rPr>
        <w:t>Name</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15A49">
        <w:rPr>
          <w:sz w:val="22"/>
          <w:szCs w:val="22"/>
        </w:rPr>
        <w:tab/>
      </w:r>
      <w:r w:rsidRPr="00315A49">
        <w:rPr>
          <w:sz w:val="22"/>
          <w:szCs w:val="22"/>
        </w:rPr>
        <w:tab/>
        <w:t>Name</w:t>
      </w:r>
      <w:r>
        <w:rPr>
          <w:sz w:val="22"/>
          <w:szCs w:val="22"/>
        </w:rPr>
        <w:t>:</w:t>
      </w:r>
      <w:r w:rsidRPr="00315A49">
        <w:rPr>
          <w:sz w:val="22"/>
          <w:szCs w:val="22"/>
        </w:rPr>
        <w:t xml:space="preserve"> </w:t>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r w:rsidRPr="00315A49">
        <w:rPr>
          <w:sz w:val="22"/>
          <w:szCs w:val="22"/>
          <w:u w:val="single"/>
        </w:rPr>
        <w:tab/>
      </w:r>
    </w:p>
    <w:p w:rsidR="0014798C" w:rsidRPr="005C778D" w:rsidRDefault="0014798C" w:rsidP="0014798C">
      <w:pPr>
        <w:pStyle w:val="BodyText"/>
        <w:tabs>
          <w:tab w:val="left" w:pos="540"/>
        </w:tabs>
        <w:spacing w:line="360" w:lineRule="auto"/>
        <w:rPr>
          <w:sz w:val="22"/>
          <w:szCs w:val="22"/>
          <w:u w:val="single"/>
        </w:rPr>
      </w:pPr>
      <w:r w:rsidRPr="00315A49">
        <w:rPr>
          <w:sz w:val="22"/>
          <w:szCs w:val="22"/>
        </w:rPr>
        <w:t>Title: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15A49">
        <w:rPr>
          <w:sz w:val="22"/>
          <w:szCs w:val="22"/>
        </w:rPr>
        <w:tab/>
      </w:r>
      <w:r w:rsidRPr="00315A49">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4798C" w:rsidRPr="005C778D" w:rsidRDefault="0014798C" w:rsidP="0014798C">
      <w:pPr>
        <w:pStyle w:val="BodyText"/>
        <w:tabs>
          <w:tab w:val="left" w:pos="540"/>
        </w:tabs>
        <w:rPr>
          <w:rFonts w:ascii="Arial" w:hAnsi="Arial"/>
          <w:vanish/>
          <w:sz w:val="22"/>
          <w:szCs w:val="22"/>
        </w:rPr>
      </w:pPr>
      <w:r w:rsidRPr="005C778D">
        <w:rPr>
          <w:sz w:val="22"/>
          <w:szCs w:val="22"/>
        </w:rPr>
        <w:t>Date</w:t>
      </w:r>
      <w:r>
        <w:rPr>
          <w:sz w:val="22"/>
          <w:szCs w:val="22"/>
        </w:rPr>
        <w:t>:</w:t>
      </w:r>
      <w:r w:rsidRPr="005C778D">
        <w:rPr>
          <w:sz w:val="22"/>
          <w:szCs w:val="22"/>
        </w:rPr>
        <w:t xml:space="preserve"> </w:t>
      </w:r>
      <w:r w:rsidRPr="005C778D">
        <w:rPr>
          <w:sz w:val="22"/>
          <w:szCs w:val="22"/>
          <w:u w:val="single"/>
        </w:rPr>
        <w:tab/>
      </w:r>
      <w:r w:rsidRPr="005C778D">
        <w:rPr>
          <w:sz w:val="22"/>
          <w:szCs w:val="22"/>
          <w:u w:val="single"/>
        </w:rPr>
        <w:tab/>
      </w:r>
      <w:r w:rsidRPr="005C778D">
        <w:rPr>
          <w:sz w:val="22"/>
          <w:szCs w:val="22"/>
          <w:u w:val="single"/>
        </w:rPr>
        <w:tab/>
      </w:r>
      <w:r w:rsidRPr="005C778D">
        <w:rPr>
          <w:sz w:val="22"/>
          <w:szCs w:val="22"/>
          <w:u w:val="single"/>
        </w:rPr>
        <w:tab/>
      </w:r>
      <w:r w:rsidRPr="005C778D">
        <w:rPr>
          <w:sz w:val="22"/>
          <w:szCs w:val="22"/>
          <w:u w:val="single"/>
        </w:rPr>
        <w:tab/>
      </w:r>
      <w:r w:rsidRPr="005C778D">
        <w:rPr>
          <w:sz w:val="22"/>
          <w:szCs w:val="22"/>
          <w:u w:val="single"/>
        </w:rPr>
        <w:tab/>
      </w:r>
      <w:r w:rsidRPr="005C778D">
        <w:rPr>
          <w:sz w:val="22"/>
          <w:szCs w:val="22"/>
        </w:rPr>
        <w:tab/>
      </w:r>
      <w:r w:rsidRPr="005C778D">
        <w:rPr>
          <w:sz w:val="22"/>
          <w:szCs w:val="22"/>
        </w:rPr>
        <w:tab/>
        <w:t>Date</w:t>
      </w:r>
      <w:r>
        <w:rPr>
          <w:sz w:val="22"/>
          <w:szCs w:val="22"/>
        </w:rPr>
        <w:t>:</w:t>
      </w:r>
      <w:r w:rsidRPr="005C778D">
        <w:rPr>
          <w:sz w:val="22"/>
          <w:szCs w:val="22"/>
        </w:rPr>
        <w:t xml:space="preserve"> </w:t>
      </w:r>
      <w:r w:rsidRPr="005C778D">
        <w:rPr>
          <w:sz w:val="22"/>
          <w:szCs w:val="22"/>
          <w:u w:val="single"/>
        </w:rPr>
        <w:tab/>
      </w:r>
      <w:r w:rsidRPr="005C778D">
        <w:rPr>
          <w:rFonts w:ascii="Arial" w:hAnsi="Arial" w:cs="Arial"/>
          <w:sz w:val="22"/>
          <w:szCs w:val="22"/>
          <w:u w:val="single"/>
        </w:rPr>
        <w:tab/>
      </w:r>
      <w:r w:rsidRPr="005C778D">
        <w:rPr>
          <w:rFonts w:ascii="Arial" w:hAnsi="Arial" w:cs="Arial"/>
          <w:sz w:val="22"/>
          <w:szCs w:val="22"/>
          <w:u w:val="single"/>
        </w:rPr>
        <w:tab/>
      </w:r>
      <w:r w:rsidRPr="005C778D">
        <w:rPr>
          <w:rFonts w:ascii="Arial" w:hAnsi="Arial" w:cs="Arial"/>
          <w:sz w:val="22"/>
          <w:szCs w:val="22"/>
          <w:u w:val="single"/>
        </w:rPr>
        <w:tab/>
      </w:r>
      <w:r>
        <w:rPr>
          <w:rFonts w:ascii="Arial" w:hAnsi="Arial" w:cs="Arial"/>
          <w:sz w:val="22"/>
          <w:szCs w:val="22"/>
          <w:u w:val="single"/>
        </w:rPr>
        <w:tab/>
      </w:r>
    </w:p>
    <w:p w:rsidR="00C65B24" w:rsidRDefault="00C65B24" w:rsidP="0014798C">
      <w:pPr>
        <w:ind w:left="900" w:hanging="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p w:rsidR="00C65B24" w:rsidRDefault="00C65B24" w:rsidP="00C65B24">
      <w:pPr>
        <w:ind w:left="900"/>
        <w:rPr>
          <w:rFonts w:ascii="Verdana" w:hAnsi="Verdana"/>
          <w:sz w:val="22"/>
          <w:szCs w:val="22"/>
        </w:rPr>
      </w:pPr>
    </w:p>
    <w:sectPr w:rsidR="00C65B24" w:rsidSect="0011592D">
      <w:headerReference w:type="even" r:id="rId7"/>
      <w:headerReference w:type="default" r:id="rId8"/>
      <w:footerReference w:type="even" r:id="rId9"/>
      <w:footerReference w:type="default" r:id="rId10"/>
      <w:headerReference w:type="first" r:id="rId11"/>
      <w:footerReference w:type="first" r:id="rId12"/>
      <w:pgSz w:w="12240" w:h="15840" w:code="1"/>
      <w:pgMar w:top="3402" w:right="851" w:bottom="1412" w:left="1412"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8A" w:rsidRDefault="00840B8A">
      <w:r>
        <w:separator/>
      </w:r>
    </w:p>
  </w:endnote>
  <w:endnote w:type="continuationSeparator" w:id="0">
    <w:p w:rsidR="00840B8A" w:rsidRDefault="0084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F1" w:rsidRDefault="00C90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F1" w:rsidRDefault="00C90A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F1" w:rsidRDefault="00C90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8A" w:rsidRDefault="00840B8A">
      <w:r>
        <w:separator/>
      </w:r>
    </w:p>
  </w:footnote>
  <w:footnote w:type="continuationSeparator" w:id="0">
    <w:p w:rsidR="00840B8A" w:rsidRDefault="0084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F1" w:rsidRDefault="00C90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2" w:type="dxa"/>
      <w:tblLook w:val="01E0" w:firstRow="1" w:lastRow="1" w:firstColumn="1" w:lastColumn="1" w:noHBand="0" w:noVBand="0"/>
    </w:tblPr>
    <w:tblGrid>
      <w:gridCol w:w="3249"/>
      <w:gridCol w:w="2691"/>
      <w:gridCol w:w="4505"/>
    </w:tblGrid>
    <w:tr w:rsidR="00C90AF1" w:rsidTr="0042393E">
      <w:tc>
        <w:tcPr>
          <w:tcW w:w="3249" w:type="dxa"/>
        </w:tcPr>
        <w:p w:rsidR="00C90AF1" w:rsidRPr="0042393E" w:rsidRDefault="00C90AF1" w:rsidP="0042393E">
          <w:pPr>
            <w:pStyle w:val="Header"/>
            <w:tabs>
              <w:tab w:val="clear" w:pos="4320"/>
              <w:tab w:val="clear" w:pos="8640"/>
              <w:tab w:val="left" w:pos="2087"/>
            </w:tabs>
            <w:rPr>
              <w:sz w:val="66"/>
              <w:szCs w:val="66"/>
            </w:rPr>
          </w:pPr>
        </w:p>
        <w:p w:rsidR="00C90AF1" w:rsidRDefault="00870AD8" w:rsidP="00AC0D1D">
          <w:pPr>
            <w:pStyle w:val="Header"/>
          </w:pPr>
          <w:r>
            <w:rPr>
              <w:noProof/>
            </w:rPr>
            <w:drawing>
              <wp:inline distT="0" distB="0" distL="0" distR="0">
                <wp:extent cx="609600" cy="752475"/>
                <wp:effectExtent l="0" t="0" r="0" b="9525"/>
                <wp:docPr id="3" name="Picture 3" descr="Eni_color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i_colore-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c>
      <w:tc>
        <w:tcPr>
          <w:tcW w:w="2691" w:type="dxa"/>
        </w:tcPr>
        <w:p w:rsidR="00C90AF1" w:rsidRDefault="00C90AF1" w:rsidP="00AC0D1D">
          <w:pPr>
            <w:pStyle w:val="Header"/>
          </w:pPr>
        </w:p>
      </w:tc>
      <w:tc>
        <w:tcPr>
          <w:tcW w:w="4505" w:type="dxa"/>
        </w:tcPr>
        <w:p w:rsidR="00C90AF1" w:rsidRPr="0042393E" w:rsidRDefault="00C90AF1" w:rsidP="00AC0D1D">
          <w:pPr>
            <w:pStyle w:val="Header"/>
            <w:rPr>
              <w:sz w:val="64"/>
              <w:szCs w:val="64"/>
            </w:rPr>
          </w:pPr>
        </w:p>
        <w:p w:rsidR="00C90AF1" w:rsidRPr="0042393E" w:rsidRDefault="00870AD8" w:rsidP="00AC0D1D">
          <w:pPr>
            <w:pStyle w:val="Header"/>
            <w:rPr>
              <w:rFonts w:ascii="Verdana" w:hAnsi="Verdana"/>
            </w:rPr>
          </w:pPr>
          <w:r>
            <w:rPr>
              <w:noProof/>
            </w:rPr>
            <w:drawing>
              <wp:inline distT="0" distB="0" distL="0" distR="0">
                <wp:extent cx="1657350" cy="238125"/>
                <wp:effectExtent l="0" t="0" r="0" b="9525"/>
                <wp:docPr id="4" name="Picture 4" descr="eniusop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iusoperat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p>
      </w:tc>
    </w:tr>
  </w:tbl>
  <w:p w:rsidR="00C90AF1" w:rsidRDefault="00C90A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2" w:type="dxa"/>
      <w:tblLook w:val="01E0" w:firstRow="1" w:lastRow="1" w:firstColumn="1" w:lastColumn="1" w:noHBand="0" w:noVBand="0"/>
    </w:tblPr>
    <w:tblGrid>
      <w:gridCol w:w="3250"/>
      <w:gridCol w:w="2690"/>
      <w:gridCol w:w="4505"/>
    </w:tblGrid>
    <w:tr w:rsidR="00C90AF1" w:rsidTr="0042393E">
      <w:tc>
        <w:tcPr>
          <w:tcW w:w="3250" w:type="dxa"/>
          <w:vMerge w:val="restart"/>
        </w:tcPr>
        <w:p w:rsidR="00C90AF1" w:rsidRPr="0042393E" w:rsidRDefault="00C90AF1" w:rsidP="0026138F">
          <w:pPr>
            <w:pStyle w:val="Header"/>
            <w:rPr>
              <w:sz w:val="66"/>
              <w:szCs w:val="66"/>
            </w:rPr>
          </w:pPr>
        </w:p>
        <w:p w:rsidR="00C90AF1" w:rsidRDefault="00870AD8" w:rsidP="0026138F">
          <w:pPr>
            <w:pStyle w:val="Header"/>
          </w:pPr>
          <w:r>
            <w:rPr>
              <w:noProof/>
            </w:rPr>
            <w:drawing>
              <wp:inline distT="0" distB="0" distL="0" distR="0">
                <wp:extent cx="619125" cy="752475"/>
                <wp:effectExtent l="0" t="0" r="9525" b="9525"/>
                <wp:docPr id="2" name="Picture 2" descr="Eni_color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i_colore-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c>
      <w:tc>
        <w:tcPr>
          <w:tcW w:w="2690" w:type="dxa"/>
        </w:tcPr>
        <w:p w:rsidR="00C90AF1" w:rsidRDefault="00C90AF1" w:rsidP="0026138F">
          <w:pPr>
            <w:pStyle w:val="Header"/>
          </w:pPr>
        </w:p>
      </w:tc>
      <w:tc>
        <w:tcPr>
          <w:tcW w:w="4505" w:type="dxa"/>
        </w:tcPr>
        <w:p w:rsidR="00C90AF1" w:rsidRPr="0042393E" w:rsidRDefault="00870AD8" w:rsidP="0042393E">
          <w:pPr>
            <w:pStyle w:val="Header"/>
            <w:spacing w:before="60"/>
            <w:rPr>
              <w:rFonts w:ascii="Verdana" w:hAnsi="Verdana"/>
            </w:rPr>
          </w:pPr>
          <w:r>
            <w:rPr>
              <w:noProof/>
            </w:rPr>
            <w:drawing>
              <wp:inline distT="0" distB="0" distL="0" distR="0">
                <wp:extent cx="1657350" cy="238125"/>
                <wp:effectExtent l="0" t="0" r="0" b="9525"/>
                <wp:docPr id="1" name="Picture 1" descr="eniusop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usoperat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p>
        <w:p w:rsidR="00C90AF1" w:rsidRPr="0042393E" w:rsidRDefault="00C90AF1" w:rsidP="0042393E">
          <w:pPr>
            <w:pStyle w:val="Header"/>
            <w:ind w:left="45"/>
            <w:rPr>
              <w:rFonts w:ascii="Verdana" w:hAnsi="Verdana"/>
              <w:sz w:val="14"/>
              <w:szCs w:val="14"/>
            </w:rPr>
          </w:pPr>
          <w:r w:rsidRPr="0042393E">
            <w:rPr>
              <w:rFonts w:ascii="Verdana" w:hAnsi="Verdana"/>
              <w:sz w:val="14"/>
              <w:szCs w:val="14"/>
            </w:rPr>
            <w:t>eni us operating co. inc.</w:t>
          </w:r>
        </w:p>
        <w:p w:rsidR="00C90AF1" w:rsidRPr="0042393E" w:rsidRDefault="00C90AF1" w:rsidP="0042393E">
          <w:pPr>
            <w:pStyle w:val="Header"/>
            <w:ind w:left="45"/>
            <w:rPr>
              <w:rFonts w:ascii="Verdana" w:hAnsi="Verdana"/>
              <w:sz w:val="14"/>
              <w:szCs w:val="14"/>
            </w:rPr>
          </w:pPr>
          <w:r w:rsidRPr="0042393E">
            <w:rPr>
              <w:rFonts w:ascii="Verdana" w:hAnsi="Verdana"/>
              <w:sz w:val="14"/>
              <w:szCs w:val="14"/>
            </w:rPr>
            <w:t>1200 Smith Street, Suite 1700</w:t>
          </w:r>
        </w:p>
        <w:p w:rsidR="00C90AF1" w:rsidRPr="0042393E" w:rsidRDefault="00C90AF1" w:rsidP="0042393E">
          <w:pPr>
            <w:pStyle w:val="Header"/>
            <w:ind w:left="45"/>
            <w:rPr>
              <w:rFonts w:ascii="Verdana" w:hAnsi="Verdana"/>
              <w:sz w:val="14"/>
              <w:szCs w:val="14"/>
            </w:rPr>
          </w:pPr>
          <w:smartTag w:uri="urn:schemas-microsoft-com:office:smarttags" w:element="place">
            <w:smartTag w:uri="urn:schemas-microsoft-com:office:smarttags" w:element="City">
              <w:r w:rsidRPr="0042393E">
                <w:rPr>
                  <w:rFonts w:ascii="Verdana" w:hAnsi="Verdana"/>
                  <w:sz w:val="14"/>
                  <w:szCs w:val="14"/>
                </w:rPr>
                <w:t>Houston</w:t>
              </w:r>
            </w:smartTag>
            <w:r w:rsidRPr="0042393E">
              <w:rPr>
                <w:rFonts w:ascii="Verdana" w:hAnsi="Verdana"/>
                <w:sz w:val="14"/>
                <w:szCs w:val="14"/>
              </w:rPr>
              <w:t xml:space="preserve">, </w:t>
            </w:r>
            <w:smartTag w:uri="urn:schemas-microsoft-com:office:smarttags" w:element="State">
              <w:r w:rsidRPr="0042393E">
                <w:rPr>
                  <w:rFonts w:ascii="Verdana" w:hAnsi="Verdana"/>
                  <w:sz w:val="14"/>
                  <w:szCs w:val="14"/>
                </w:rPr>
                <w:t>TX</w:t>
              </w:r>
            </w:smartTag>
            <w:r w:rsidRPr="0042393E">
              <w:rPr>
                <w:rFonts w:ascii="Verdana" w:hAnsi="Verdana"/>
                <w:sz w:val="14"/>
                <w:szCs w:val="14"/>
              </w:rPr>
              <w:t xml:space="preserve">  </w:t>
            </w:r>
            <w:smartTag w:uri="urn:schemas-microsoft-com:office:smarttags" w:element="PostalCode">
              <w:r w:rsidRPr="0042393E">
                <w:rPr>
                  <w:rFonts w:ascii="Verdana" w:hAnsi="Verdana"/>
                  <w:sz w:val="14"/>
                  <w:szCs w:val="14"/>
                </w:rPr>
                <w:t>77002</w:t>
              </w:r>
            </w:smartTag>
          </w:smartTag>
        </w:p>
        <w:p w:rsidR="00C90AF1" w:rsidRPr="0042393E" w:rsidRDefault="00C90AF1" w:rsidP="0042393E">
          <w:pPr>
            <w:pStyle w:val="Header"/>
            <w:ind w:left="45"/>
            <w:rPr>
              <w:rFonts w:ascii="Verdana" w:hAnsi="Verdana"/>
            </w:rPr>
          </w:pPr>
          <w:r w:rsidRPr="0042393E">
            <w:rPr>
              <w:rFonts w:ascii="Verdana" w:hAnsi="Verdana"/>
              <w:sz w:val="14"/>
              <w:szCs w:val="14"/>
            </w:rPr>
            <w:t>Tel.  713-393-6100  Fax 713-393-6205</w:t>
          </w:r>
        </w:p>
      </w:tc>
    </w:tr>
    <w:tr w:rsidR="00C90AF1" w:rsidTr="0042393E">
      <w:tc>
        <w:tcPr>
          <w:tcW w:w="3250" w:type="dxa"/>
          <w:vMerge/>
        </w:tcPr>
        <w:p w:rsidR="00C90AF1" w:rsidRDefault="00C90AF1" w:rsidP="0026138F">
          <w:pPr>
            <w:pStyle w:val="Header"/>
          </w:pPr>
        </w:p>
      </w:tc>
      <w:tc>
        <w:tcPr>
          <w:tcW w:w="2690" w:type="dxa"/>
        </w:tcPr>
        <w:p w:rsidR="00C90AF1" w:rsidRDefault="00C90AF1" w:rsidP="0026138F">
          <w:pPr>
            <w:pStyle w:val="Header"/>
          </w:pPr>
        </w:p>
        <w:p w:rsidR="00C90AF1" w:rsidRDefault="00C90AF1" w:rsidP="0026138F"/>
        <w:p w:rsidR="00C90AF1" w:rsidRPr="00F4001A" w:rsidRDefault="00C90AF1" w:rsidP="0042393E">
          <w:pPr>
            <w:ind w:firstLine="720"/>
          </w:pPr>
        </w:p>
      </w:tc>
      <w:tc>
        <w:tcPr>
          <w:tcW w:w="4505" w:type="dxa"/>
        </w:tcPr>
        <w:p w:rsidR="00C90AF1" w:rsidRDefault="00C90AF1" w:rsidP="0026138F">
          <w:pPr>
            <w:pStyle w:val="Header"/>
          </w:pPr>
        </w:p>
      </w:tc>
    </w:tr>
  </w:tbl>
  <w:p w:rsidR="00C90AF1" w:rsidRPr="0026138F" w:rsidRDefault="00C90AF1" w:rsidP="0026138F">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011B4"/>
    <w:multiLevelType w:val="hybridMultilevel"/>
    <w:tmpl w:val="0BA873F6"/>
    <w:lvl w:ilvl="0" w:tplc="B11C34F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E"/>
    <w:rsid w:val="000076D1"/>
    <w:rsid w:val="00034593"/>
    <w:rsid w:val="000573DF"/>
    <w:rsid w:val="0006237C"/>
    <w:rsid w:val="00094EF6"/>
    <w:rsid w:val="000A499B"/>
    <w:rsid w:val="000C78B0"/>
    <w:rsid w:val="000D59FB"/>
    <w:rsid w:val="00110FC9"/>
    <w:rsid w:val="00114B67"/>
    <w:rsid w:val="0011592D"/>
    <w:rsid w:val="001262B9"/>
    <w:rsid w:val="0014798C"/>
    <w:rsid w:val="0018305B"/>
    <w:rsid w:val="001D62A7"/>
    <w:rsid w:val="00223FB7"/>
    <w:rsid w:val="0026138F"/>
    <w:rsid w:val="0026644A"/>
    <w:rsid w:val="002C1680"/>
    <w:rsid w:val="002D5DD2"/>
    <w:rsid w:val="002D641C"/>
    <w:rsid w:val="002E08D5"/>
    <w:rsid w:val="002E0C5C"/>
    <w:rsid w:val="002F057C"/>
    <w:rsid w:val="002F49F7"/>
    <w:rsid w:val="00351490"/>
    <w:rsid w:val="003541A6"/>
    <w:rsid w:val="00356414"/>
    <w:rsid w:val="00360655"/>
    <w:rsid w:val="003964BA"/>
    <w:rsid w:val="003F0677"/>
    <w:rsid w:val="003F2027"/>
    <w:rsid w:val="00415488"/>
    <w:rsid w:val="0042393E"/>
    <w:rsid w:val="00444A22"/>
    <w:rsid w:val="00462769"/>
    <w:rsid w:val="00477846"/>
    <w:rsid w:val="004B0480"/>
    <w:rsid w:val="004F3DCD"/>
    <w:rsid w:val="0052636F"/>
    <w:rsid w:val="00535DE8"/>
    <w:rsid w:val="005C2083"/>
    <w:rsid w:val="005D0977"/>
    <w:rsid w:val="00600410"/>
    <w:rsid w:val="006452AE"/>
    <w:rsid w:val="006464B6"/>
    <w:rsid w:val="0065005E"/>
    <w:rsid w:val="00657FC2"/>
    <w:rsid w:val="006664DA"/>
    <w:rsid w:val="006B1F59"/>
    <w:rsid w:val="006E4660"/>
    <w:rsid w:val="006E61FB"/>
    <w:rsid w:val="006F102D"/>
    <w:rsid w:val="00704003"/>
    <w:rsid w:val="00711198"/>
    <w:rsid w:val="00714A03"/>
    <w:rsid w:val="00721EF6"/>
    <w:rsid w:val="00755D52"/>
    <w:rsid w:val="00780BD2"/>
    <w:rsid w:val="007D2162"/>
    <w:rsid w:val="0084060E"/>
    <w:rsid w:val="00840B8A"/>
    <w:rsid w:val="008420A4"/>
    <w:rsid w:val="00862E87"/>
    <w:rsid w:val="00870AD8"/>
    <w:rsid w:val="008C16A8"/>
    <w:rsid w:val="008D08D0"/>
    <w:rsid w:val="008E4A2D"/>
    <w:rsid w:val="00957116"/>
    <w:rsid w:val="00960FD1"/>
    <w:rsid w:val="0097225E"/>
    <w:rsid w:val="00975C2A"/>
    <w:rsid w:val="00980963"/>
    <w:rsid w:val="009A4A7F"/>
    <w:rsid w:val="009C3E26"/>
    <w:rsid w:val="009F0AC9"/>
    <w:rsid w:val="009F47E8"/>
    <w:rsid w:val="00A01B6E"/>
    <w:rsid w:val="00A227DC"/>
    <w:rsid w:val="00A343E7"/>
    <w:rsid w:val="00A647E3"/>
    <w:rsid w:val="00A703F1"/>
    <w:rsid w:val="00A74D5B"/>
    <w:rsid w:val="00A75D1A"/>
    <w:rsid w:val="00AA33D5"/>
    <w:rsid w:val="00AB1D5B"/>
    <w:rsid w:val="00AC0D1D"/>
    <w:rsid w:val="00AC3A52"/>
    <w:rsid w:val="00AE7952"/>
    <w:rsid w:val="00B06F79"/>
    <w:rsid w:val="00B10679"/>
    <w:rsid w:val="00B73950"/>
    <w:rsid w:val="00B73A80"/>
    <w:rsid w:val="00B801B7"/>
    <w:rsid w:val="00B86857"/>
    <w:rsid w:val="00BC37DC"/>
    <w:rsid w:val="00BF3CCA"/>
    <w:rsid w:val="00C463AC"/>
    <w:rsid w:val="00C65B24"/>
    <w:rsid w:val="00C90AF1"/>
    <w:rsid w:val="00CB6726"/>
    <w:rsid w:val="00CF03F9"/>
    <w:rsid w:val="00D23CA1"/>
    <w:rsid w:val="00D362FD"/>
    <w:rsid w:val="00D61649"/>
    <w:rsid w:val="00D62E82"/>
    <w:rsid w:val="00D748AC"/>
    <w:rsid w:val="00D8078C"/>
    <w:rsid w:val="00D819EB"/>
    <w:rsid w:val="00DA3C8E"/>
    <w:rsid w:val="00E413F0"/>
    <w:rsid w:val="00E54F5D"/>
    <w:rsid w:val="00E57030"/>
    <w:rsid w:val="00EB5280"/>
    <w:rsid w:val="00EF1D43"/>
    <w:rsid w:val="00EF53A7"/>
    <w:rsid w:val="00F53069"/>
    <w:rsid w:val="00F54AF0"/>
    <w:rsid w:val="00F7291B"/>
    <w:rsid w:val="00F927FF"/>
    <w:rsid w:val="00F92CA6"/>
    <w:rsid w:val="00FB2553"/>
    <w:rsid w:val="00FD0751"/>
    <w:rsid w:val="00FF2F91"/>
    <w:rsid w:val="00F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AE0401C-6A2E-4651-ACF5-681D26D0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4798C"/>
    <w:pPr>
      <w:keepNext/>
      <w:tabs>
        <w:tab w:val="left" w:pos="-720"/>
      </w:tabs>
      <w:suppressAutoHyphens/>
      <w:jc w:val="center"/>
      <w:outlineLvl w:val="0"/>
    </w:pPr>
    <w:rPr>
      <w:rFonts w:ascii="Arial" w:hAnsi="Arial"/>
      <w:b/>
      <w:spacing w:val="-3"/>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61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6138F"/>
    <w:rPr>
      <w:rFonts w:ascii="Tahoma" w:hAnsi="Tahoma" w:cs="Tahoma"/>
      <w:sz w:val="16"/>
      <w:szCs w:val="16"/>
    </w:rPr>
  </w:style>
  <w:style w:type="character" w:customStyle="1" w:styleId="Heading1Char">
    <w:name w:val="Heading 1 Char"/>
    <w:link w:val="Heading1"/>
    <w:rsid w:val="0014798C"/>
    <w:rPr>
      <w:rFonts w:ascii="Arial" w:hAnsi="Arial"/>
      <w:b/>
      <w:spacing w:val="-3"/>
      <w:sz w:val="18"/>
    </w:rPr>
  </w:style>
  <w:style w:type="paragraph" w:styleId="BodyText">
    <w:name w:val="Body Text"/>
    <w:basedOn w:val="Normal"/>
    <w:link w:val="BodyTextChar"/>
    <w:rsid w:val="0014798C"/>
    <w:pPr>
      <w:spacing w:after="120"/>
    </w:pPr>
    <w:rPr>
      <w:sz w:val="20"/>
      <w:szCs w:val="20"/>
    </w:rPr>
  </w:style>
  <w:style w:type="character" w:customStyle="1" w:styleId="BodyTextChar">
    <w:name w:val="Body Text Char"/>
    <w:basedOn w:val="DefaultParagraphFont"/>
    <w:link w:val="BodyText"/>
    <w:rsid w:val="0014798C"/>
  </w:style>
  <w:style w:type="character" w:styleId="Hyperlink">
    <w:name w:val="Hyperlink"/>
    <w:rsid w:val="0014798C"/>
    <w:rPr>
      <w:color w:val="0000FF"/>
      <w:u w:val="single"/>
    </w:rPr>
  </w:style>
  <w:style w:type="paragraph" w:styleId="ListParagraph">
    <w:name w:val="List Paragraph"/>
    <w:basedOn w:val="Normal"/>
    <w:uiPriority w:val="34"/>
    <w:qFormat/>
    <w:rsid w:val="0014798C"/>
    <w:pPr>
      <w:ind w:left="720"/>
    </w:pPr>
    <w:rPr>
      <w:rFonts w:ascii="Calibri" w:eastAsia="Calibri" w:hAnsi="Calibri"/>
      <w:sz w:val="22"/>
      <w:szCs w:val="22"/>
    </w:rPr>
  </w:style>
  <w:style w:type="paragraph" w:styleId="PlainText">
    <w:name w:val="Plain Text"/>
    <w:basedOn w:val="Normal"/>
    <w:link w:val="PlainTextChar"/>
    <w:uiPriority w:val="99"/>
    <w:unhideWhenUsed/>
    <w:rsid w:val="002D5DD2"/>
    <w:rPr>
      <w:rFonts w:ascii="Consolas" w:eastAsia="Calibri" w:hAnsi="Consolas"/>
      <w:sz w:val="21"/>
      <w:szCs w:val="21"/>
    </w:rPr>
  </w:style>
  <w:style w:type="character" w:customStyle="1" w:styleId="PlainTextChar">
    <w:name w:val="Plain Text Char"/>
    <w:link w:val="PlainText"/>
    <w:uiPriority w:val="99"/>
    <w:rsid w:val="002D5DD2"/>
    <w:rPr>
      <w:rFonts w:ascii="Consolas" w:eastAsia="Calibri" w:hAnsi="Consolas" w:cs="Times New Roman"/>
      <w:sz w:val="21"/>
      <w:szCs w:val="21"/>
    </w:rPr>
  </w:style>
  <w:style w:type="character" w:styleId="FollowedHyperlink">
    <w:name w:val="FollowedHyperlink"/>
    <w:rsid w:val="00F54A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5745">
      <w:bodyDiv w:val="1"/>
      <w:marLeft w:val="0"/>
      <w:marRight w:val="0"/>
      <w:marTop w:val="0"/>
      <w:marBottom w:val="0"/>
      <w:divBdr>
        <w:top w:val="none" w:sz="0" w:space="0" w:color="auto"/>
        <w:left w:val="none" w:sz="0" w:space="0" w:color="auto"/>
        <w:bottom w:val="none" w:sz="0" w:space="0" w:color="auto"/>
        <w:right w:val="none" w:sz="0" w:space="0" w:color="auto"/>
      </w:divBdr>
    </w:div>
    <w:div w:id="757672891">
      <w:bodyDiv w:val="1"/>
      <w:marLeft w:val="0"/>
      <w:marRight w:val="0"/>
      <w:marTop w:val="0"/>
      <w:marBottom w:val="0"/>
      <w:divBdr>
        <w:top w:val="none" w:sz="0" w:space="0" w:color="auto"/>
        <w:left w:val="none" w:sz="0" w:space="0" w:color="auto"/>
        <w:bottom w:val="none" w:sz="0" w:space="0" w:color="auto"/>
        <w:right w:val="none" w:sz="0" w:space="0" w:color="auto"/>
      </w:divBdr>
    </w:div>
    <w:div w:id="960306232">
      <w:bodyDiv w:val="1"/>
      <w:marLeft w:val="0"/>
      <w:marRight w:val="0"/>
      <w:marTop w:val="0"/>
      <w:marBottom w:val="0"/>
      <w:divBdr>
        <w:top w:val="none" w:sz="0" w:space="0" w:color="auto"/>
        <w:left w:val="none" w:sz="0" w:space="0" w:color="auto"/>
        <w:bottom w:val="none" w:sz="0" w:space="0" w:color="auto"/>
        <w:right w:val="none" w:sz="0" w:space="0" w:color="auto"/>
      </w:divBdr>
    </w:div>
    <w:div w:id="1116292742">
      <w:bodyDiv w:val="1"/>
      <w:marLeft w:val="0"/>
      <w:marRight w:val="0"/>
      <w:marTop w:val="0"/>
      <w:marBottom w:val="0"/>
      <w:divBdr>
        <w:top w:val="none" w:sz="0" w:space="0" w:color="auto"/>
        <w:left w:val="none" w:sz="0" w:space="0" w:color="auto"/>
        <w:bottom w:val="none" w:sz="0" w:space="0" w:color="auto"/>
        <w:right w:val="none" w:sz="0" w:space="0" w:color="auto"/>
      </w:divBdr>
    </w:div>
    <w:div w:id="1196653445">
      <w:bodyDiv w:val="1"/>
      <w:marLeft w:val="0"/>
      <w:marRight w:val="0"/>
      <w:marTop w:val="0"/>
      <w:marBottom w:val="0"/>
      <w:divBdr>
        <w:top w:val="none" w:sz="0" w:space="0" w:color="auto"/>
        <w:left w:val="none" w:sz="0" w:space="0" w:color="auto"/>
        <w:bottom w:val="none" w:sz="0" w:space="0" w:color="auto"/>
        <w:right w:val="none" w:sz="0" w:space="0" w:color="auto"/>
      </w:divBdr>
    </w:div>
    <w:div w:id="1290669973">
      <w:bodyDiv w:val="1"/>
      <w:marLeft w:val="0"/>
      <w:marRight w:val="0"/>
      <w:marTop w:val="0"/>
      <w:marBottom w:val="0"/>
      <w:divBdr>
        <w:top w:val="none" w:sz="0" w:space="0" w:color="auto"/>
        <w:left w:val="none" w:sz="0" w:space="0" w:color="auto"/>
        <w:bottom w:val="none" w:sz="0" w:space="0" w:color="auto"/>
        <w:right w:val="none" w:sz="0" w:space="0" w:color="auto"/>
      </w:divBdr>
    </w:div>
    <w:div w:id="1327319862">
      <w:bodyDiv w:val="1"/>
      <w:marLeft w:val="0"/>
      <w:marRight w:val="0"/>
      <w:marTop w:val="0"/>
      <w:marBottom w:val="0"/>
      <w:divBdr>
        <w:top w:val="none" w:sz="0" w:space="0" w:color="auto"/>
        <w:left w:val="none" w:sz="0" w:space="0" w:color="auto"/>
        <w:bottom w:val="none" w:sz="0" w:space="0" w:color="auto"/>
        <w:right w:val="none" w:sz="0" w:space="0" w:color="auto"/>
      </w:divBdr>
    </w:div>
    <w:div w:id="1699625931">
      <w:bodyDiv w:val="1"/>
      <w:marLeft w:val="0"/>
      <w:marRight w:val="0"/>
      <w:marTop w:val="0"/>
      <w:marBottom w:val="0"/>
      <w:divBdr>
        <w:top w:val="none" w:sz="0" w:space="0" w:color="auto"/>
        <w:left w:val="none" w:sz="0" w:space="0" w:color="auto"/>
        <w:bottom w:val="none" w:sz="0" w:space="0" w:color="auto"/>
        <w:right w:val="none" w:sz="0" w:space="0" w:color="auto"/>
      </w:divBdr>
    </w:div>
    <w:div w:id="1757356852">
      <w:bodyDiv w:val="1"/>
      <w:marLeft w:val="0"/>
      <w:marRight w:val="0"/>
      <w:marTop w:val="0"/>
      <w:marBottom w:val="0"/>
      <w:divBdr>
        <w:top w:val="none" w:sz="0" w:space="0" w:color="auto"/>
        <w:left w:val="none" w:sz="0" w:space="0" w:color="auto"/>
        <w:bottom w:val="none" w:sz="0" w:space="0" w:color="auto"/>
        <w:right w:val="none" w:sz="0" w:space="0" w:color="auto"/>
      </w:divBdr>
    </w:div>
    <w:div w:id="1976181208">
      <w:bodyDiv w:val="1"/>
      <w:marLeft w:val="0"/>
      <w:marRight w:val="0"/>
      <w:marTop w:val="0"/>
      <w:marBottom w:val="0"/>
      <w:divBdr>
        <w:top w:val="none" w:sz="0" w:space="0" w:color="auto"/>
        <w:left w:val="none" w:sz="0" w:space="0" w:color="auto"/>
        <w:bottom w:val="none" w:sz="0" w:space="0" w:color="auto"/>
        <w:right w:val="none" w:sz="0" w:space="0" w:color="auto"/>
      </w:divBdr>
    </w:div>
    <w:div w:id="20081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Letterhead%20-%20Houston%20Eni%20US%20Opera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 Houston Eni US Operating</Template>
  <TotalTime>0</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Houston Eni US Operating Letterhead</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Eni US Operating Letterhead</dc:title>
  <dc:subject/>
  <dc:creator>pt01493</dc:creator>
  <cp:keywords/>
  <cp:lastModifiedBy>Jose Garcia</cp:lastModifiedBy>
  <cp:revision>2</cp:revision>
  <cp:lastPrinted>2015-04-07T19:27:00Z</cp:lastPrinted>
  <dcterms:created xsi:type="dcterms:W3CDTF">2021-08-31T15:55:00Z</dcterms:created>
  <dcterms:modified xsi:type="dcterms:W3CDTF">2021-08-31T15:55:00Z</dcterms:modified>
</cp:coreProperties>
</file>